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Pr="00314274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28"/>
          <w:szCs w:val="28"/>
          <w:rtl/>
        </w:rPr>
      </w:pPr>
    </w:p>
    <w:p w:rsidR="00314274" w:rsidRDefault="00314274" w:rsidP="00314274">
      <w:pPr>
        <w:pStyle w:val="a3"/>
        <w:spacing w:before="240" w:afterAutospacing="0" w:line="480" w:lineRule="auto"/>
        <w:ind w:left="960" w:right="1134"/>
        <w:jc w:val="center"/>
        <w:rPr>
          <w:rFonts w:ascii="Hacen Newspaper" w:hAnsi="Hacen Newspaper" w:cs="PT Bold Heading" w:hint="cs"/>
          <w:sz w:val="36"/>
          <w:szCs w:val="36"/>
          <w:rtl/>
        </w:rPr>
      </w:pPr>
      <w:r w:rsidRPr="00314274">
        <w:rPr>
          <w:rFonts w:ascii="Hacen Newspaper" w:hAnsi="Hacen Newspaper" w:cs="PT Bold Heading" w:hint="cs"/>
          <w:sz w:val="36"/>
          <w:szCs w:val="36"/>
          <w:rtl/>
        </w:rPr>
        <w:t>مؤشرات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مراقبة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جودة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الأداء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على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البرامج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الأكاديمية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بجامعة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نجران</w:t>
      </w:r>
      <w:r>
        <w:rPr>
          <w:rFonts w:ascii="Hacen Newspaper" w:hAnsi="Hacen Newspaper" w:cs="PT Bold Heading" w:hint="cs"/>
          <w:sz w:val="36"/>
          <w:szCs w:val="36"/>
          <w:rtl/>
        </w:rPr>
        <w:t xml:space="preserve"> </w:t>
      </w:r>
    </w:p>
    <w:p w:rsidR="00F96B32" w:rsidRPr="00314274" w:rsidRDefault="00314274" w:rsidP="00314274">
      <w:pPr>
        <w:pStyle w:val="a3"/>
        <w:spacing w:before="240" w:after="240" w:afterAutospacing="0" w:line="480" w:lineRule="auto"/>
        <w:ind w:left="960" w:right="1134"/>
        <w:jc w:val="center"/>
        <w:rPr>
          <w:rFonts w:ascii="Hacen Newspaper" w:hAnsi="Hacen Newspaper" w:cs="PT Bold Heading" w:hint="cs"/>
          <w:sz w:val="36"/>
          <w:szCs w:val="36"/>
          <w:rtl/>
        </w:rPr>
      </w:pPr>
      <w:r w:rsidRPr="00314274">
        <w:rPr>
          <w:rFonts w:ascii="Hacen Newspaper" w:hAnsi="Hacen Newspaper" w:cs="PT Bold Heading" w:hint="cs"/>
          <w:sz w:val="36"/>
          <w:szCs w:val="36"/>
          <w:rtl/>
        </w:rPr>
        <w:t>وفقا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لمتطلبات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هيئة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تقويم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التعليم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المركز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الوطني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للتقويم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والاعتماد</w:t>
      </w:r>
      <w:r w:rsidRPr="00314274">
        <w:rPr>
          <w:rFonts w:ascii="Hacen Newspaper" w:hAnsi="Hacen Newspaper" w:cs="PT Bold Heading"/>
          <w:sz w:val="36"/>
          <w:szCs w:val="36"/>
          <w:rtl/>
        </w:rPr>
        <w:t xml:space="preserve"> </w:t>
      </w:r>
      <w:r w:rsidRPr="00314274">
        <w:rPr>
          <w:rFonts w:ascii="Hacen Newspaper" w:hAnsi="Hacen Newspaper" w:cs="PT Bold Heading" w:hint="cs"/>
          <w:sz w:val="36"/>
          <w:szCs w:val="36"/>
          <w:rtl/>
        </w:rPr>
        <w:t>الأكاديمي</w:t>
      </w:r>
    </w:p>
    <w:tbl>
      <w:tblPr>
        <w:tblStyle w:val="a4"/>
        <w:bidiVisual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الكلية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البرنامج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proofErr w:type="gramStart"/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العام</w:t>
            </w:r>
            <w:proofErr w:type="gramEnd"/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الأكاديمي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 w:hint="cs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Theme="minorBidi" w:hAnsiTheme="minorBidi" w:hint="cs"/>
          <w:sz w:val="4"/>
          <w:szCs w:val="4"/>
          <w:rtl/>
        </w:rPr>
      </w:pPr>
    </w:p>
    <w:p w:rsidR="00895212" w:rsidRDefault="00895212" w:rsidP="00CA70D0">
      <w:pPr>
        <w:pStyle w:val="a3"/>
        <w:spacing w:before="240" w:afterAutospacing="0" w:line="480" w:lineRule="auto"/>
        <w:ind w:left="-32"/>
        <w:jc w:val="center"/>
        <w:rPr>
          <w:rFonts w:asciiTheme="minorBidi" w:hAnsiTheme="minorBidi" w:hint="cs"/>
          <w:sz w:val="4"/>
          <w:szCs w:val="4"/>
          <w:rtl/>
        </w:rPr>
      </w:pPr>
    </w:p>
    <w:tbl>
      <w:tblPr>
        <w:bidiVisual/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035"/>
        <w:gridCol w:w="2835"/>
        <w:gridCol w:w="1134"/>
        <w:gridCol w:w="1276"/>
        <w:gridCol w:w="1276"/>
        <w:gridCol w:w="1842"/>
        <w:gridCol w:w="1418"/>
        <w:gridCol w:w="1134"/>
        <w:gridCol w:w="992"/>
        <w:gridCol w:w="1134"/>
      </w:tblGrid>
      <w:tr w:rsidR="008B72FE" w:rsidRPr="0084048E" w:rsidTr="008B72FE">
        <w:trPr>
          <w:cantSplit/>
          <w:trHeight w:val="1134"/>
          <w:tblHeader/>
        </w:trPr>
        <w:tc>
          <w:tcPr>
            <w:tcW w:w="1091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المعيار</w:t>
            </w:r>
          </w:p>
        </w:tc>
        <w:tc>
          <w:tcPr>
            <w:tcW w:w="1035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الرمز </w:t>
            </w:r>
            <w:proofErr w:type="spellStart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الكودي</w:t>
            </w:r>
            <w:proofErr w:type="spellEnd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للمعيار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مؤشر</w:t>
            </w:r>
            <w:proofErr w:type="gramEnd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الأداء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مستوى</w:t>
            </w:r>
            <w:proofErr w:type="gramEnd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الأداء الفعلي للعام</w:t>
            </w:r>
          </w:p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14/14هـ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مستوى</w:t>
            </w:r>
            <w:proofErr w:type="gramEnd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الأداء المستهدف لهذا العام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مستوى الأداء المستهدف </w:t>
            </w:r>
            <w:r w:rsidRPr="008B72FE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</w:t>
            </w:r>
            <w:r w:rsidR="008B72FE"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( بنهاية الخطة</w:t>
            </w: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842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مستوى الأداء المرجعي الداخلي</w:t>
            </w:r>
            <w:r w:rsidR="008B72FE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( يذكر اسم البرنامج)</w:t>
            </w:r>
            <w:r w:rsidR="008B72FE">
              <w:rPr>
                <w:rtl/>
              </w:rPr>
              <w:t xml:space="preserve"> </w:t>
            </w:r>
            <w:r w:rsidR="008B72FE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14/14</w:t>
            </w:r>
          </w:p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مستوى الأداء المرجعي الخارجي 14/14( يذكر اسم البرنامج إن وجد)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مستوى الأداء </w:t>
            </w:r>
            <w:proofErr w:type="gramStart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المستهدف</w:t>
            </w:r>
            <w:proofErr w:type="gramEnd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الجديد</w:t>
            </w:r>
            <w:r w:rsidR="008B72FE" w:rsidRPr="008B72FE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للعام</w:t>
            </w:r>
          </w:p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( 14/14)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نقاط القوة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95212" w:rsidRPr="008B72FE" w:rsidRDefault="00895212" w:rsidP="008B72FE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توصيات</w:t>
            </w:r>
            <w:proofErr w:type="gramEnd"/>
            <w:r w:rsidRPr="008B72FE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التحسين</w:t>
            </w:r>
          </w:p>
        </w:tc>
      </w:tr>
      <w:tr w:rsidR="008B72FE" w:rsidRPr="0084048E" w:rsidTr="00F67BDC">
        <w:tc>
          <w:tcPr>
            <w:tcW w:w="1091" w:type="dxa"/>
            <w:vMerge w:val="restart"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  <w:proofErr w:type="gramEnd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إدارة ضمان الجودة </w:t>
            </w:r>
            <w:proofErr w:type="gramStart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والتحسين</w:t>
            </w:r>
            <w:proofErr w:type="gramEnd"/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S3.1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درجة التقييم العام للجودة وخبرات التعلم (متوسط درجة التقييم العام للجودة باستخدام استبيان سنوي  خماسي لطلاب السنة النهائية)</w:t>
            </w: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vMerge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S3.2</w:t>
            </w:r>
          </w:p>
        </w:tc>
        <w:tc>
          <w:tcPr>
            <w:tcW w:w="2835" w:type="dxa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نسبة </w:t>
            </w: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المقررات</w:t>
            </w:r>
            <w:proofErr w:type="gramEnd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قام الطلاب بتقييمها خلال العام</w:t>
            </w: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vMerge w:val="restart"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  <w:proofErr w:type="gramEnd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</w:t>
            </w:r>
          </w:p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التعليم </w:t>
            </w:r>
            <w:proofErr w:type="gramStart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والتعلم</w:t>
            </w:r>
            <w:proofErr w:type="gramEnd"/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نس</w:t>
            </w:r>
            <w:r w:rsidR="00F67BDC">
              <w:rPr>
                <w:rFonts w:hint="cs"/>
                <w:b/>
                <w:bCs/>
                <w:sz w:val="24"/>
                <w:szCs w:val="24"/>
                <w:rtl/>
              </w:rPr>
              <w:t xml:space="preserve">ب الطلاب إلى أعضاء هيئة التدريس </w:t>
            </w: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(بناء على المعادل أو </w:t>
            </w: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المكافئ</w:t>
            </w:r>
            <w:proofErr w:type="gramEnd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 للوقت الكامل)</w:t>
            </w: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vMerge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S4.2</w:t>
            </w:r>
          </w:p>
        </w:tc>
        <w:tc>
          <w:tcPr>
            <w:tcW w:w="2835" w:type="dxa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درجة تقييم الطلاب الشامل </w:t>
            </w: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للمقررات</w:t>
            </w:r>
            <w:proofErr w:type="gramEnd"/>
            <w:r w:rsidR="00F67BD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يدرسونها </w:t>
            </w: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(متوسط تقييم الطلاب الشامل للمقررات على مقياس من خمسة درجات)</w:t>
            </w: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vMerge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S4.4</w:t>
            </w:r>
          </w:p>
        </w:tc>
        <w:tc>
          <w:tcPr>
            <w:tcW w:w="2835" w:type="dxa"/>
            <w:vAlign w:val="center"/>
          </w:tcPr>
          <w:p w:rsidR="00895212" w:rsidRPr="004A505D" w:rsidRDefault="00F67BDC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معدل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الاستبقاء: </w:t>
            </w:r>
            <w:r w:rsidR="00895212" w:rsidRPr="004A505D">
              <w:rPr>
                <w:rFonts w:hint="cs"/>
                <w:b/>
                <w:bCs/>
                <w:sz w:val="24"/>
                <w:szCs w:val="24"/>
                <w:rtl/>
              </w:rPr>
              <w:t>نسبة الطلاب الذين دخلوا البرامج وأكملوا بنجاح السنة الأولى</w:t>
            </w: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vMerge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S4.5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معدل</w:t>
            </w:r>
            <w:proofErr w:type="gramEnd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7BD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التخرج لطلاب مرحلة البكالوريوس: </w:t>
            </w:r>
            <w:bookmarkStart w:id="0" w:name="_GoBack"/>
            <w:bookmarkEnd w:id="0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نسبة الطلاب الذين دخلوا برامج مرحلة البكالوريوس وأكملوا هذه البرامج في الحد الأدنى للوقت</w:t>
            </w: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المعيار</w:t>
            </w:r>
            <w:proofErr w:type="gramEnd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الخامس</w:t>
            </w:r>
          </w:p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A505D">
              <w:rPr>
                <w:b/>
                <w:bCs/>
                <w:sz w:val="28"/>
                <w:szCs w:val="28"/>
                <w:rtl/>
              </w:rPr>
              <w:t>إدارة</w:t>
            </w:r>
            <w:proofErr w:type="gramEnd"/>
            <w:r w:rsidRPr="004A505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شؤون </w:t>
            </w:r>
            <w:r w:rsidRPr="004A505D">
              <w:rPr>
                <w:b/>
                <w:bCs/>
                <w:sz w:val="28"/>
                <w:szCs w:val="28"/>
                <w:rtl/>
              </w:rPr>
              <w:t>الطلاب و</w:t>
            </w: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A505D">
              <w:rPr>
                <w:b/>
                <w:bCs/>
                <w:sz w:val="28"/>
                <w:szCs w:val="28"/>
                <w:rtl/>
              </w:rPr>
              <w:t>خدمات</w:t>
            </w: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المساندة</w:t>
            </w: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 w:rsidRPr="0084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S5.3</w:t>
            </w:r>
          </w:p>
        </w:tc>
        <w:tc>
          <w:tcPr>
            <w:tcW w:w="2835" w:type="dxa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تقييم ا</w:t>
            </w:r>
            <w:r w:rsidR="00F67BDC">
              <w:rPr>
                <w:rFonts w:hint="cs"/>
                <w:b/>
                <w:bCs/>
                <w:sz w:val="24"/>
                <w:szCs w:val="24"/>
                <w:rtl/>
              </w:rPr>
              <w:t xml:space="preserve">لطلاب للإرشاد الأكاديمي والمهني </w:t>
            </w: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(متوسط معدل </w:t>
            </w: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مناسبة</w:t>
            </w:r>
            <w:proofErr w:type="gramEnd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الإرشاد الأكاديمي والمهني باستخدام استبيان سنوي خماسي يقدم لطلاب السنة النهائية)</w:t>
            </w: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التاسع</w:t>
            </w: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S9.2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نسبة أعضاء هيئة التدريس المشاركون في أنشطة التطوير المهني خلال العام السابق</w:t>
            </w: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العاشر</w:t>
            </w: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S10.3</w:t>
            </w:r>
          </w:p>
        </w:tc>
        <w:tc>
          <w:tcPr>
            <w:tcW w:w="2835" w:type="dxa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نسبة</w:t>
            </w:r>
            <w:proofErr w:type="gramEnd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 أعضاء هيئة التدريس من ذوي الدوام الكامل الذين لديهم على الأقل بحث علمي واحد منشور في مجلة محكمة، وذلك في العام السابق.</w:t>
            </w: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B72FE" w:rsidRPr="0084048E" w:rsidTr="00F67BDC">
        <w:tc>
          <w:tcPr>
            <w:tcW w:w="1091" w:type="dxa"/>
            <w:shd w:val="clear" w:color="auto" w:fill="4F6228" w:themeFill="accent3" w:themeFillShade="80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الحادي </w:t>
            </w:r>
            <w:proofErr w:type="gramStart"/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  <w:proofErr w:type="gramEnd"/>
            <w:r w:rsidR="00F67BD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505D">
              <w:rPr>
                <w:rFonts w:hint="cs"/>
                <w:b/>
                <w:bCs/>
                <w:sz w:val="28"/>
                <w:szCs w:val="28"/>
                <w:rtl/>
              </w:rPr>
              <w:t>الخدمات المجمعية</w:t>
            </w:r>
          </w:p>
        </w:tc>
        <w:tc>
          <w:tcPr>
            <w:tcW w:w="1035" w:type="dxa"/>
            <w:shd w:val="clear" w:color="auto" w:fill="17365D" w:themeFill="text2" w:themeFillShade="BF"/>
            <w:vAlign w:val="center"/>
          </w:tcPr>
          <w:p w:rsidR="00895212" w:rsidRPr="0084048E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95212" w:rsidRPr="004A505D" w:rsidRDefault="00895212" w:rsidP="00F67BDC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>نسبة</w:t>
            </w:r>
            <w:proofErr w:type="gramEnd"/>
            <w:r w:rsidRPr="004A505D">
              <w:rPr>
                <w:rFonts w:hint="cs"/>
                <w:b/>
                <w:bCs/>
                <w:sz w:val="24"/>
                <w:szCs w:val="24"/>
                <w:rtl/>
              </w:rPr>
              <w:t xml:space="preserve"> أعضاء هيئة التدريس ومن في حكمهم من ذوي الدوام الكامل المشاركين في أنشطة الخدمة المجتمعية</w:t>
            </w: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/>
          </w:tcPr>
          <w:p w:rsidR="00895212" w:rsidRPr="004A505D" w:rsidRDefault="00895212" w:rsidP="008B72FE">
            <w:pPr>
              <w:spacing w:after="0" w:line="240" w:lineRule="auto"/>
              <w:ind w:lef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CA70D0" w:rsidRPr="00F67BDC" w:rsidRDefault="00CA70D0" w:rsidP="00F67BDC">
      <w:pPr>
        <w:pStyle w:val="a3"/>
        <w:spacing w:before="240" w:afterAutospacing="0" w:line="480" w:lineRule="auto"/>
        <w:ind w:left="-32"/>
        <w:jc w:val="center"/>
        <w:rPr>
          <w:rFonts w:asciiTheme="minorBidi" w:hAnsiTheme="minorBidi" w:hint="cs"/>
          <w:sz w:val="4"/>
          <w:szCs w:val="4"/>
          <w:rtl/>
        </w:rPr>
      </w:pPr>
    </w:p>
    <w:sectPr w:rsidR="00CA70D0" w:rsidRPr="00F67BDC" w:rsidSect="008B72FE">
      <w:headerReference w:type="default" r:id="rId9"/>
      <w:footerReference w:type="default" r:id="rId10"/>
      <w:pgSz w:w="16838" w:h="11906" w:orient="landscape"/>
      <w:pgMar w:top="2268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F6" w:rsidRDefault="007628F6" w:rsidP="002B1BD5">
      <w:pPr>
        <w:spacing w:after="0" w:line="240" w:lineRule="auto"/>
      </w:pPr>
      <w:r>
        <w:separator/>
      </w:r>
    </w:p>
  </w:endnote>
  <w:endnote w:type="continuationSeparator" w:id="0">
    <w:p w:rsidR="007628F6" w:rsidRDefault="007628F6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Pr="00B33070" w:rsidRDefault="00B33070" w:rsidP="00B33070">
    <w:pPr>
      <w:pStyle w:val="a7"/>
      <w:jc w:val="right"/>
    </w:pPr>
    <w:proofErr w:type="gramStart"/>
    <w:r w:rsidRPr="00B33070">
      <w:rPr>
        <w:rFonts w:cs="Arial" w:hint="cs"/>
        <w:rtl/>
      </w:rPr>
      <w:t>جودة</w:t>
    </w:r>
    <w:proofErr w:type="gramEnd"/>
    <w:r w:rsidRPr="00B33070">
      <w:rPr>
        <w:rFonts w:cs="Arial"/>
        <w:rtl/>
      </w:rPr>
      <w:t xml:space="preserve">- </w:t>
    </w:r>
    <w:r w:rsidRPr="00B33070">
      <w:rPr>
        <w:rFonts w:cs="Arial" w:hint="cs"/>
        <w:rtl/>
      </w:rPr>
      <w:t>ن</w:t>
    </w:r>
    <w:r w:rsidRPr="00B33070">
      <w:rPr>
        <w:rFonts w:cs="Arial"/>
        <w:rtl/>
      </w:rPr>
      <w:t xml:space="preserve">- </w:t>
    </w:r>
    <w:r w:rsidRPr="00B33070">
      <w:rPr>
        <w:rFonts w:cs="Arial" w:hint="cs"/>
        <w:rtl/>
      </w:rPr>
      <w:t>تخطيط</w:t>
    </w:r>
    <w:r w:rsidRPr="00B33070">
      <w:rPr>
        <w:rFonts w:cs="Arial"/>
        <w:rtl/>
      </w:rPr>
      <w:t xml:space="preserve"> - 14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F6" w:rsidRDefault="007628F6" w:rsidP="002B1BD5">
      <w:pPr>
        <w:spacing w:after="0" w:line="240" w:lineRule="auto"/>
      </w:pPr>
      <w:r>
        <w:separator/>
      </w:r>
    </w:p>
  </w:footnote>
  <w:footnote w:type="continuationSeparator" w:id="0">
    <w:p w:rsidR="007628F6" w:rsidRDefault="007628F6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2B181794" wp14:editId="564D57D0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3" name="صورة 3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 w:hint="cs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 w:hint="cs"/>
        <w:sz w:val="14"/>
        <w:szCs w:val="14"/>
        <w:rtl/>
      </w:rPr>
    </w:pPr>
  </w:p>
  <w:p w:rsidR="002B1BD5" w:rsidRPr="002B1BD5" w:rsidRDefault="007628F6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14274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414F2"/>
    <w:rsid w:val="00750E03"/>
    <w:rsid w:val="007628F6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95212"/>
    <w:rsid w:val="008B0A83"/>
    <w:rsid w:val="008B2ACE"/>
    <w:rsid w:val="008B72F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33070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85F60"/>
    <w:rsid w:val="00EB183C"/>
    <w:rsid w:val="00ED58C4"/>
    <w:rsid w:val="00F14FBB"/>
    <w:rsid w:val="00F3746F"/>
    <w:rsid w:val="00F65AF2"/>
    <w:rsid w:val="00F65C3C"/>
    <w:rsid w:val="00F67BD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145F-E45D-49D9-9223-F20F86FC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3</cp:revision>
  <cp:lastPrinted>2016-10-02T21:42:00Z</cp:lastPrinted>
  <dcterms:created xsi:type="dcterms:W3CDTF">2018-02-20T13:12:00Z</dcterms:created>
  <dcterms:modified xsi:type="dcterms:W3CDTF">2018-02-20T13:39:00Z</dcterms:modified>
</cp:coreProperties>
</file>