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049" w:rsidRDefault="00C86049" w:rsidP="00C86049">
      <w:pPr>
        <w:bidi w:val="0"/>
        <w:spacing w:line="240" w:lineRule="auto"/>
        <w:jc w:val="right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</w:t>
      </w:r>
    </w:p>
    <w:p w:rsidR="00C86049" w:rsidRPr="00533675" w:rsidRDefault="00C86049" w:rsidP="00533675">
      <w:pPr>
        <w:bidi w:val="0"/>
        <w:spacing w:line="240" w:lineRule="auto"/>
        <w:jc w:val="right"/>
        <w:rPr>
          <w:rFonts w:ascii="Arial" w:hAnsi="Arial"/>
          <w:b/>
          <w:bCs/>
          <w:sz w:val="16"/>
          <w:szCs w:val="16"/>
        </w:rPr>
      </w:pPr>
      <w:r w:rsidRPr="00533675">
        <w:rPr>
          <w:rFonts w:ascii="Arial" w:hAnsi="Arial"/>
          <w:b/>
          <w:bCs/>
          <w:sz w:val="16"/>
          <w:szCs w:val="16"/>
          <w:rtl/>
        </w:rPr>
        <w:t>وكالة الجامعة للتطوير والجودة</w:t>
      </w:r>
    </w:p>
    <w:p w:rsidR="00C86049" w:rsidRPr="00533675" w:rsidRDefault="00C86049" w:rsidP="00533675">
      <w:pPr>
        <w:tabs>
          <w:tab w:val="left" w:pos="12510"/>
          <w:tab w:val="left" w:pos="12600"/>
          <w:tab w:val="left" w:pos="12960"/>
          <w:tab w:val="left" w:pos="13590"/>
        </w:tabs>
        <w:bidi w:val="0"/>
        <w:spacing w:line="240" w:lineRule="auto"/>
        <w:jc w:val="right"/>
        <w:rPr>
          <w:rFonts w:ascii="Arial" w:hAnsi="Arial"/>
          <w:b/>
          <w:bCs/>
          <w:sz w:val="16"/>
          <w:szCs w:val="16"/>
          <w:rtl/>
        </w:rPr>
      </w:pPr>
      <w:r w:rsidRPr="00533675">
        <w:rPr>
          <w:rFonts w:ascii="Arial" w:hAnsi="Arial"/>
          <w:b/>
          <w:bCs/>
          <w:sz w:val="16"/>
          <w:szCs w:val="16"/>
          <w:rtl/>
        </w:rPr>
        <w:t>عمادة التطوير والجودة</w:t>
      </w:r>
    </w:p>
    <w:p w:rsidR="00C86049" w:rsidRPr="00533675" w:rsidRDefault="00C86049" w:rsidP="00533675">
      <w:pPr>
        <w:bidi w:val="0"/>
        <w:spacing w:line="240" w:lineRule="auto"/>
        <w:jc w:val="right"/>
        <w:rPr>
          <w:rFonts w:ascii="Arial" w:hAnsi="Arial"/>
          <w:b/>
          <w:bCs/>
          <w:sz w:val="16"/>
          <w:szCs w:val="16"/>
          <w:rtl/>
        </w:rPr>
      </w:pPr>
      <w:r w:rsidRPr="00533675">
        <w:rPr>
          <w:rFonts w:ascii="Arial" w:hAnsi="Arial"/>
          <w:b/>
          <w:bCs/>
          <w:sz w:val="16"/>
          <w:szCs w:val="16"/>
          <w:rtl/>
        </w:rPr>
        <w:t>وحدة</w:t>
      </w:r>
      <w:r w:rsidRPr="00533675">
        <w:rPr>
          <w:rFonts w:ascii="Arial" w:hAnsi="Arial" w:hint="cs"/>
          <w:b/>
          <w:bCs/>
          <w:sz w:val="16"/>
          <w:szCs w:val="16"/>
          <w:rtl/>
        </w:rPr>
        <w:t xml:space="preserve"> التخطيط والمتابعة</w:t>
      </w:r>
    </w:p>
    <w:p w:rsidR="00C86049" w:rsidRDefault="00C86049" w:rsidP="00533675">
      <w:pPr>
        <w:bidi w:val="0"/>
        <w:spacing w:line="240" w:lineRule="auto"/>
        <w:jc w:val="center"/>
        <w:rPr>
          <w:rFonts w:ascii="Arial" w:hAnsi="Arial" w:cs="PT Bold Heading"/>
          <w:b/>
          <w:bCs/>
          <w:sz w:val="28"/>
          <w:szCs w:val="28"/>
        </w:rPr>
      </w:pPr>
      <w:r>
        <w:rPr>
          <w:rFonts w:ascii="Arial" w:hAnsi="Arial" w:cs="PT Bold Heading" w:hint="cs"/>
          <w:b/>
          <w:bCs/>
          <w:sz w:val="28"/>
          <w:szCs w:val="28"/>
          <w:rtl/>
        </w:rPr>
        <w:t>نموذج التق</w:t>
      </w:r>
      <w:r w:rsidR="00896EDC">
        <w:rPr>
          <w:rFonts w:ascii="Arial" w:hAnsi="Arial" w:cs="PT Bold Heading" w:hint="cs"/>
          <w:b/>
          <w:bCs/>
          <w:sz w:val="28"/>
          <w:szCs w:val="28"/>
          <w:rtl/>
        </w:rPr>
        <w:t>رير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السنوي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</w:t>
      </w:r>
      <w:r w:rsidR="00896EDC">
        <w:rPr>
          <w:rFonts w:ascii="Arial" w:hAnsi="Arial" w:cs="PT Bold Heading" w:hint="cs"/>
          <w:b/>
          <w:bCs/>
          <w:sz w:val="28"/>
          <w:szCs w:val="28"/>
          <w:rtl/>
        </w:rPr>
        <w:t>ل</w:t>
      </w:r>
      <w:r w:rsidR="0073627B">
        <w:rPr>
          <w:rFonts w:ascii="Arial" w:hAnsi="Arial" w:cs="PT Bold Heading" w:hint="cs"/>
          <w:b/>
          <w:bCs/>
          <w:sz w:val="28"/>
          <w:szCs w:val="28"/>
          <w:rtl/>
        </w:rPr>
        <w:t xml:space="preserve">رصد مؤشرات أداء </w:t>
      </w:r>
      <w:r w:rsidR="00896EDC">
        <w:rPr>
          <w:rFonts w:ascii="Arial" w:hAnsi="Arial" w:cs="PT Bold Heading" w:hint="cs"/>
          <w:b/>
          <w:bCs/>
          <w:sz w:val="28"/>
          <w:szCs w:val="28"/>
          <w:rtl/>
        </w:rPr>
        <w:t>وحدة التخطيط والمتابعة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  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1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4   /    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>14</w:t>
      </w:r>
      <w:r>
        <w:rPr>
          <w:rFonts w:ascii="Arial" w:hAnsi="Arial" w:cs="PT Bold Heading" w:hint="cs"/>
          <w:b/>
          <w:bCs/>
          <w:sz w:val="28"/>
          <w:szCs w:val="28"/>
          <w:rtl/>
        </w:rPr>
        <w:t xml:space="preserve">  </w:t>
      </w:r>
      <w:r w:rsidRPr="00E061B0">
        <w:rPr>
          <w:rFonts w:ascii="Arial" w:hAnsi="Arial" w:cs="PT Bold Heading" w:hint="cs"/>
          <w:b/>
          <w:bCs/>
          <w:sz w:val="28"/>
          <w:szCs w:val="28"/>
          <w:rtl/>
        </w:rPr>
        <w:t xml:space="preserve"> هـ</w:t>
      </w:r>
    </w:p>
    <w:tbl>
      <w:tblPr>
        <w:tblStyle w:val="a7"/>
        <w:bidiVisual/>
        <w:tblW w:w="13236" w:type="dxa"/>
        <w:jc w:val="center"/>
        <w:tblInd w:w="2795" w:type="dxa"/>
        <w:tblLook w:val="04A0" w:firstRow="1" w:lastRow="0" w:firstColumn="1" w:lastColumn="0" w:noHBand="0" w:noVBand="1"/>
      </w:tblPr>
      <w:tblGrid>
        <w:gridCol w:w="3704"/>
        <w:gridCol w:w="1388"/>
        <w:gridCol w:w="2268"/>
        <w:gridCol w:w="1195"/>
        <w:gridCol w:w="2348"/>
        <w:gridCol w:w="2333"/>
      </w:tblGrid>
      <w:tr w:rsidR="00F64434" w:rsidTr="0073627B">
        <w:trPr>
          <w:tblHeader/>
          <w:jc w:val="center"/>
        </w:trPr>
        <w:tc>
          <w:tcPr>
            <w:tcW w:w="3704" w:type="dxa"/>
            <w:shd w:val="clear" w:color="auto" w:fill="FABF8F" w:themeFill="accent6" w:themeFillTint="99"/>
          </w:tcPr>
          <w:p w:rsidR="00F64434" w:rsidRPr="003E5819" w:rsidRDefault="00F64434" w:rsidP="00065C24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أهداف الوحدة</w:t>
            </w:r>
          </w:p>
        </w:tc>
        <w:tc>
          <w:tcPr>
            <w:tcW w:w="1388" w:type="dxa"/>
            <w:shd w:val="clear" w:color="auto" w:fill="FABF8F" w:themeFill="accent6" w:themeFillTint="99"/>
          </w:tcPr>
          <w:p w:rsidR="00F64434" w:rsidRPr="003E5819" w:rsidRDefault="00F64434" w:rsidP="00065C24">
            <w:pPr>
              <w:jc w:val="center"/>
              <w:rPr>
                <w:rFonts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الوزن النسبي للهد</w:t>
            </w:r>
            <w:bookmarkStart w:id="0" w:name="_GoBack"/>
            <w:bookmarkEnd w:id="0"/>
            <w:r>
              <w:rPr>
                <w:rFonts w:cs="PT Bold Heading" w:hint="cs"/>
                <w:b/>
                <w:bCs/>
                <w:sz w:val="28"/>
                <w:szCs w:val="28"/>
                <w:rtl/>
              </w:rPr>
              <w:t>ف</w:t>
            </w:r>
          </w:p>
        </w:tc>
        <w:tc>
          <w:tcPr>
            <w:tcW w:w="2268" w:type="dxa"/>
            <w:shd w:val="clear" w:color="auto" w:fill="FABF8F" w:themeFill="accent6" w:themeFillTint="99"/>
          </w:tcPr>
          <w:p w:rsidR="00F64434" w:rsidRDefault="00F64434" w:rsidP="00065C24">
            <w:pPr>
              <w:jc w:val="center"/>
              <w:rPr>
                <w:rFonts w:ascii="Arial" w:hAnsi="Arial" w:cs="PT Bold Heading"/>
                <w:b/>
                <w:bCs/>
                <w:sz w:val="28"/>
                <w:szCs w:val="28"/>
                <w:rtl/>
              </w:rPr>
            </w:pPr>
            <w:r w:rsidRPr="003E5819">
              <w:rPr>
                <w:rFonts w:cs="PT Bold Heading" w:hint="cs"/>
                <w:b/>
                <w:bCs/>
                <w:sz w:val="28"/>
                <w:szCs w:val="28"/>
                <w:rtl/>
              </w:rPr>
              <w:t>المؤشرات المعتمدة للأداء</w:t>
            </w:r>
          </w:p>
        </w:tc>
        <w:tc>
          <w:tcPr>
            <w:tcW w:w="1195" w:type="dxa"/>
            <w:shd w:val="clear" w:color="auto" w:fill="FABF8F" w:themeFill="accent6" w:themeFillTint="99"/>
          </w:tcPr>
          <w:p w:rsidR="00F64434" w:rsidRDefault="00F64434" w:rsidP="00065C24">
            <w:pPr>
              <w:jc w:val="center"/>
              <w:rPr>
                <w:rFonts w:ascii="Arial" w:hAnsi="Arial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PT Bold Heading" w:hint="cs"/>
                <w:b/>
                <w:bCs/>
                <w:sz w:val="28"/>
                <w:szCs w:val="28"/>
                <w:rtl/>
              </w:rPr>
              <w:t>القيمة المتحققة</w:t>
            </w:r>
          </w:p>
        </w:tc>
        <w:tc>
          <w:tcPr>
            <w:tcW w:w="2348" w:type="dxa"/>
            <w:shd w:val="clear" w:color="auto" w:fill="FABF8F" w:themeFill="accent6" w:themeFillTint="99"/>
          </w:tcPr>
          <w:p w:rsidR="00F64434" w:rsidRDefault="00F64434" w:rsidP="00065C24">
            <w:pPr>
              <w:jc w:val="center"/>
              <w:rPr>
                <w:rFonts w:ascii="Arial" w:hAnsi="Arial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PT Bold Heading" w:hint="cs"/>
                <w:b/>
                <w:bCs/>
                <w:sz w:val="28"/>
                <w:szCs w:val="28"/>
                <w:rtl/>
              </w:rPr>
              <w:t>القيمة المستهدفة</w:t>
            </w:r>
          </w:p>
        </w:tc>
        <w:tc>
          <w:tcPr>
            <w:tcW w:w="2333" w:type="dxa"/>
            <w:shd w:val="clear" w:color="auto" w:fill="FABF8F" w:themeFill="accent6" w:themeFillTint="99"/>
          </w:tcPr>
          <w:p w:rsidR="00F64434" w:rsidRDefault="00F64434" w:rsidP="00065C24">
            <w:pPr>
              <w:jc w:val="center"/>
              <w:rPr>
                <w:rFonts w:ascii="Arial" w:hAnsi="Arial" w:cs="PT Bold Heading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PT Bold Heading" w:hint="cs"/>
                <w:b/>
                <w:bCs/>
                <w:sz w:val="28"/>
                <w:szCs w:val="28"/>
                <w:rtl/>
              </w:rPr>
              <w:t>نسبة انجاز الهدف</w:t>
            </w:r>
          </w:p>
        </w:tc>
      </w:tr>
      <w:tr w:rsidR="006F546C" w:rsidTr="0073627B">
        <w:trPr>
          <w:jc w:val="center"/>
        </w:trPr>
        <w:tc>
          <w:tcPr>
            <w:tcW w:w="3704" w:type="dxa"/>
            <w:vMerge w:val="restart"/>
            <w:shd w:val="clear" w:color="auto" w:fill="FDE9D9" w:themeFill="accent6" w:themeFillTint="33"/>
          </w:tcPr>
          <w:p w:rsidR="006F546C" w:rsidRPr="008D0097" w:rsidRDefault="006F546C" w:rsidP="008D0097">
            <w:pPr>
              <w:autoSpaceDE w:val="0"/>
              <w:autoSpaceDN w:val="0"/>
              <w:adjustRightInd w:val="0"/>
              <w:jc w:val="lowKashida"/>
              <w:textAlignment w:val="center"/>
              <w:rPr>
                <w:rFonts w:ascii="AXtShareQ" w:hAnsi="AXtShareQ" w:cs="mohammad bold art 1"/>
                <w:b/>
                <w:bCs/>
                <w:sz w:val="28"/>
                <w:szCs w:val="28"/>
              </w:rPr>
            </w:pP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دعم وحدات الجامعة الأكاديمية والادارية في تصميم وتنفيذ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الخطط الاستراتيجية والتنفيذية.</w:t>
            </w:r>
          </w:p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8" w:type="dxa"/>
            <w:vMerge w:val="restart"/>
            <w:shd w:val="clear" w:color="auto" w:fill="FDE9D9" w:themeFill="accent6" w:themeFillTint="33"/>
          </w:tcPr>
          <w:p w:rsidR="006F546C" w:rsidRPr="00F64434" w:rsidRDefault="006F546C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20%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6F546C" w:rsidRPr="00F64434" w:rsidRDefault="006F546C" w:rsidP="00AC62E9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نسبة</w:t>
            </w:r>
            <w:r w:rsidRPr="009A54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تقارير مراجعة الخطط الاستراتيجية والتنفيذية لوحدات الجامعة. 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6F546C" w:rsidRPr="00F64434" w:rsidRDefault="006F546C" w:rsidP="00AC62E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6F546C" w:rsidRPr="00F64434" w:rsidRDefault="006F546C" w:rsidP="00AC62E9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A54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تقارير المراجعة خلال العام الأكاديمي/ عدد الخطط المقدمة من الوحدات= 1:1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F546C" w:rsidTr="0073627B">
        <w:trPr>
          <w:jc w:val="center"/>
        </w:trPr>
        <w:tc>
          <w:tcPr>
            <w:tcW w:w="3704" w:type="dxa"/>
            <w:vMerge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8" w:type="dxa"/>
            <w:vMerge/>
            <w:shd w:val="clear" w:color="auto" w:fill="FDE9D9" w:themeFill="accent6" w:themeFillTint="33"/>
          </w:tcPr>
          <w:p w:rsidR="006F546C" w:rsidRPr="00F64434" w:rsidRDefault="006F546C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6F546C" w:rsidRPr="00F64434" w:rsidRDefault="006F546C" w:rsidP="00AC62E9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تقارير التغذية الراجعة حول تنفيذ الوحدات لخططها السنوية.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6F546C" w:rsidRPr="00F64434" w:rsidRDefault="006F546C" w:rsidP="00AC62E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6F546C" w:rsidRPr="00F64434" w:rsidRDefault="006F546C" w:rsidP="00AC62E9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عدد التقارير السنوية للتغذية الراجعة/ عدد الوحدات= 1:4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F546C" w:rsidTr="0073627B">
        <w:trPr>
          <w:jc w:val="center"/>
        </w:trPr>
        <w:tc>
          <w:tcPr>
            <w:tcW w:w="3704" w:type="dxa"/>
            <w:vMerge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8" w:type="dxa"/>
            <w:vMerge/>
            <w:shd w:val="clear" w:color="auto" w:fill="FDE9D9" w:themeFill="accent6" w:themeFillTint="33"/>
          </w:tcPr>
          <w:p w:rsidR="006F546C" w:rsidRPr="00F64434" w:rsidRDefault="006F546C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6F546C" w:rsidRPr="00F64434" w:rsidRDefault="006F546C" w:rsidP="00AD508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9A54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نسبة تنفيذ زيارات الدعم الفني من اجمالي الزيارات المخطط لها وفق القرار المعتمد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6F546C" w:rsidRPr="00F64434" w:rsidRDefault="006F546C" w:rsidP="00AD50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6F546C" w:rsidRPr="00F64434" w:rsidRDefault="006F546C" w:rsidP="00AD508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عدد زيارات الدعم الفني المنفذة خلال العام/ اجمالي العدد المخطط له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100 (النسبة لا تقل عن 75%).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F546C" w:rsidTr="0073627B">
        <w:trPr>
          <w:jc w:val="center"/>
        </w:trPr>
        <w:tc>
          <w:tcPr>
            <w:tcW w:w="3704" w:type="dxa"/>
            <w:vMerge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8" w:type="dxa"/>
            <w:vMerge/>
            <w:shd w:val="clear" w:color="auto" w:fill="FDE9D9" w:themeFill="accent6" w:themeFillTint="33"/>
          </w:tcPr>
          <w:p w:rsidR="006F546C" w:rsidRPr="00F64434" w:rsidRDefault="006F546C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6F546C" w:rsidRPr="00F64434" w:rsidRDefault="006F546C" w:rsidP="00AD508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نسبة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رضا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المستفيدين عن </w:t>
            </w: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عمليات المتابعة والدعم الفني المقدمة من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مسؤولي الدعم الفني. 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6F546C" w:rsidRPr="00F64434" w:rsidRDefault="006F546C" w:rsidP="00AD50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6F546C" w:rsidRPr="00F64434" w:rsidRDefault="006F546C" w:rsidP="00AD508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لا تقل عن 80%.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8091B" w:rsidTr="0073627B">
        <w:trPr>
          <w:jc w:val="center"/>
        </w:trPr>
        <w:tc>
          <w:tcPr>
            <w:tcW w:w="3704" w:type="dxa"/>
            <w:vMerge w:val="restart"/>
            <w:shd w:val="clear" w:color="auto" w:fill="FDE9D9" w:themeFill="accent6" w:themeFillTint="33"/>
          </w:tcPr>
          <w:p w:rsidR="00B8091B" w:rsidRPr="008D0097" w:rsidRDefault="00B8091B" w:rsidP="008D0097">
            <w:pPr>
              <w:autoSpaceDE w:val="0"/>
              <w:autoSpaceDN w:val="0"/>
              <w:adjustRightInd w:val="0"/>
              <w:jc w:val="lowKashida"/>
              <w:textAlignment w:val="center"/>
              <w:rPr>
                <w:rFonts w:ascii="AXtShareQ" w:hAnsi="AXtShareQ" w:cs="mohammad bold art 1"/>
                <w:b/>
                <w:bCs/>
                <w:sz w:val="28"/>
                <w:szCs w:val="28"/>
                <w:lang w:bidi="ar-YE"/>
              </w:rPr>
            </w:pP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المساهمة في ادارة المخاطر الأكاديمية والاستراتيجية بالجامعة.</w:t>
            </w:r>
          </w:p>
          <w:p w:rsidR="00B8091B" w:rsidRPr="008D0097" w:rsidRDefault="00B8091B" w:rsidP="00F6443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8" w:type="dxa"/>
            <w:vMerge w:val="restart"/>
            <w:shd w:val="clear" w:color="auto" w:fill="FDE9D9" w:themeFill="accent6" w:themeFillTint="33"/>
          </w:tcPr>
          <w:p w:rsidR="00B8091B" w:rsidRPr="009A542A" w:rsidRDefault="006F546C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20%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8091B" w:rsidRPr="00C42A1F" w:rsidRDefault="00B8091B" w:rsidP="00B8091B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42A1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تقرير عن المخاطر التي تهدد الخطة الاستراتيجية للجامعة . 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B8091B" w:rsidRPr="00F64434" w:rsidRDefault="00B8091B" w:rsidP="00AD50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B8091B" w:rsidRPr="00F64434" w:rsidRDefault="00B8091B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تقرير واحد سنويا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B8091B" w:rsidRPr="009A542A" w:rsidRDefault="00B8091B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8091B" w:rsidTr="0073627B">
        <w:trPr>
          <w:jc w:val="center"/>
        </w:trPr>
        <w:tc>
          <w:tcPr>
            <w:tcW w:w="3704" w:type="dxa"/>
            <w:vMerge/>
            <w:shd w:val="clear" w:color="auto" w:fill="FDE9D9" w:themeFill="accent6" w:themeFillTint="33"/>
          </w:tcPr>
          <w:p w:rsidR="00B8091B" w:rsidRPr="00F161B3" w:rsidRDefault="00B8091B" w:rsidP="00C42A1F">
            <w:pPr>
              <w:pStyle w:val="a9"/>
              <w:numPr>
                <w:ilvl w:val="0"/>
                <w:numId w:val="2"/>
              </w:numPr>
              <w:spacing w:line="276" w:lineRule="auto"/>
              <w:jc w:val="lowKashida"/>
              <w:rPr>
                <w:rFonts w:ascii="AXtShareQ" w:hAnsi="AXtShareQ" w:cs="mohammad bold art 1"/>
                <w:color w:val="FF0000"/>
                <w:sz w:val="28"/>
                <w:szCs w:val="28"/>
                <w:rtl/>
              </w:rPr>
            </w:pPr>
          </w:p>
        </w:tc>
        <w:tc>
          <w:tcPr>
            <w:tcW w:w="1388" w:type="dxa"/>
            <w:vMerge/>
            <w:shd w:val="clear" w:color="auto" w:fill="FDE9D9" w:themeFill="accent6" w:themeFillTint="33"/>
          </w:tcPr>
          <w:p w:rsidR="00B8091B" w:rsidRPr="009A542A" w:rsidRDefault="00B8091B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B8091B" w:rsidRPr="00C42A1F" w:rsidRDefault="00B8091B" w:rsidP="00C42A1F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نسبة</w:t>
            </w:r>
            <w:r w:rsidRPr="00C42A1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تقارير توقع المخاطر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الأكاديمية</w:t>
            </w:r>
            <w:r w:rsidRPr="00C42A1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وتحليلها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.</w:t>
            </w:r>
            <w:r w:rsidRPr="00C42A1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بنسبة لا </w:t>
            </w:r>
            <w:r w:rsidRPr="00C42A1F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lastRenderedPageBreak/>
              <w:t xml:space="preserve">تقل عن 90% 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B8091B" w:rsidRPr="00F64434" w:rsidRDefault="00B8091B" w:rsidP="00AD50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B8091B" w:rsidRPr="00F64434" w:rsidRDefault="00B8091B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عدد التقارير الواردة للوحدة من البرامج/ اجمالي عدد البرامج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lastRenderedPageBreak/>
              <w:t>100 (النسبة لا تقل عن 90%)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B8091B" w:rsidRPr="009A542A" w:rsidRDefault="00B8091B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8091B" w:rsidTr="0073627B">
        <w:trPr>
          <w:jc w:val="center"/>
        </w:trPr>
        <w:tc>
          <w:tcPr>
            <w:tcW w:w="3704" w:type="dxa"/>
            <w:vMerge/>
            <w:shd w:val="clear" w:color="auto" w:fill="FDE9D9" w:themeFill="accent6" w:themeFillTint="33"/>
          </w:tcPr>
          <w:p w:rsidR="00B8091B" w:rsidRPr="00F161B3" w:rsidRDefault="00B8091B" w:rsidP="00C42A1F">
            <w:pPr>
              <w:pStyle w:val="a9"/>
              <w:numPr>
                <w:ilvl w:val="0"/>
                <w:numId w:val="2"/>
              </w:numPr>
              <w:spacing w:line="276" w:lineRule="auto"/>
              <w:jc w:val="lowKashida"/>
              <w:rPr>
                <w:rFonts w:ascii="AXtShareQ" w:hAnsi="AXtShareQ" w:cs="mohammad bold art 1"/>
                <w:color w:val="FF0000"/>
                <w:sz w:val="28"/>
                <w:szCs w:val="28"/>
                <w:rtl/>
              </w:rPr>
            </w:pPr>
          </w:p>
        </w:tc>
        <w:tc>
          <w:tcPr>
            <w:tcW w:w="1388" w:type="dxa"/>
            <w:vMerge/>
            <w:shd w:val="clear" w:color="auto" w:fill="FDE9D9" w:themeFill="accent6" w:themeFillTint="33"/>
          </w:tcPr>
          <w:p w:rsidR="00B8091B" w:rsidRPr="009A542A" w:rsidRDefault="00B8091B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B8091B" w:rsidRPr="00C42A1F" w:rsidRDefault="00B8091B" w:rsidP="00C42A1F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نسبة النجاح في مواجهة المخاطر لا تقل عن 80% . 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B8091B" w:rsidRPr="00F64434" w:rsidRDefault="00B8091B" w:rsidP="00AD50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B8091B" w:rsidRPr="00F64434" w:rsidRDefault="00B8091B" w:rsidP="00B8091B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عدد المخاطر المتوقعة/ عدد المخاطر التي تم التعامل معها ومواجهتها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100 (النسبة لا تقل عن 80%)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B8091B" w:rsidRPr="009A542A" w:rsidRDefault="00B8091B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8091B" w:rsidTr="009123EE">
        <w:trPr>
          <w:trHeight w:val="920"/>
          <w:jc w:val="center"/>
        </w:trPr>
        <w:tc>
          <w:tcPr>
            <w:tcW w:w="3704" w:type="dxa"/>
            <w:vMerge w:val="restart"/>
            <w:shd w:val="clear" w:color="auto" w:fill="FDE9D9" w:themeFill="accent6" w:themeFillTint="33"/>
          </w:tcPr>
          <w:p w:rsidR="00B8091B" w:rsidRPr="00B8091B" w:rsidRDefault="00B8091B" w:rsidP="00B8091B">
            <w:pPr>
              <w:autoSpaceDE w:val="0"/>
              <w:autoSpaceDN w:val="0"/>
              <w:adjustRightInd w:val="0"/>
              <w:jc w:val="lowKashida"/>
              <w:textAlignment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تعزيز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مهارات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أعضاء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هيئة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التدريس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والجهاز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الإداري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في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التخطيط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والتفكير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والإدارة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b/>
                <w:bCs/>
                <w:sz w:val="28"/>
                <w:szCs w:val="28"/>
                <w:rtl/>
                <w:lang w:bidi="ar-YE"/>
              </w:rPr>
              <w:t>الاستراتيجية</w:t>
            </w:r>
            <w:r w:rsidRPr="008D0097">
              <w:rPr>
                <w:rFonts w:ascii="AXtShareQ" w:hAnsi="AXtShareQ" w:cs="mohammad bold art 1"/>
                <w:b/>
                <w:bCs/>
                <w:sz w:val="28"/>
                <w:szCs w:val="28"/>
                <w:rtl/>
                <w:lang w:bidi="ar-YE"/>
              </w:rPr>
              <w:t>.</w:t>
            </w:r>
          </w:p>
        </w:tc>
        <w:tc>
          <w:tcPr>
            <w:tcW w:w="1388" w:type="dxa"/>
            <w:vMerge w:val="restart"/>
            <w:shd w:val="clear" w:color="auto" w:fill="FDE9D9" w:themeFill="accent6" w:themeFillTint="33"/>
          </w:tcPr>
          <w:p w:rsidR="00B8091B" w:rsidRPr="009A542A" w:rsidRDefault="006F546C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20%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B8091B" w:rsidRPr="00F64434" w:rsidRDefault="00354B78" w:rsidP="00354B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نسبة تدريب</w:t>
            </w:r>
            <w:r w:rsidR="00B8091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الكوادر</w:t>
            </w:r>
            <w:r w:rsidR="00B8091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الأكاديمي والإداري  في مجال التخطي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ط الاستراتيجي والتحسين المستمر</w:t>
            </w:r>
            <w:r w:rsidR="00B8091B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B8091B" w:rsidRPr="00F64434" w:rsidRDefault="00B8091B" w:rsidP="00EE1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B8091B" w:rsidRDefault="00B8091B" w:rsidP="00354B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عدد الاداريين والاداريات الذين تلقوا التدريب/ اجمالي عدد </w:t>
            </w:r>
            <w:r w:rsidR="00354B7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الكادر الاداري</w:t>
            </w:r>
            <w:r w:rsidR="00354B78"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="00354B7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 w:rsidR="00354B78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100 (النسبة لا تقل عن 25%).</w:t>
            </w:r>
          </w:p>
          <w:p w:rsidR="00354B78" w:rsidRDefault="00354B78" w:rsidP="00354B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عدد الأكاديميين والأكاديميات الذين تلقوا التدريب/ اجمالي عدد الكادر الأكاديمي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100 (النسبة لا تقل عن 25%).</w:t>
            </w:r>
          </w:p>
          <w:p w:rsidR="00354B78" w:rsidRPr="00F64434" w:rsidRDefault="00354B78" w:rsidP="00354B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3" w:type="dxa"/>
            <w:shd w:val="clear" w:color="auto" w:fill="FDE9D9" w:themeFill="accent6" w:themeFillTint="33"/>
          </w:tcPr>
          <w:p w:rsidR="00B8091B" w:rsidRPr="009A542A" w:rsidRDefault="00B8091B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B8091B" w:rsidTr="0073627B">
        <w:trPr>
          <w:jc w:val="center"/>
        </w:trPr>
        <w:tc>
          <w:tcPr>
            <w:tcW w:w="3704" w:type="dxa"/>
            <w:vMerge/>
            <w:shd w:val="clear" w:color="auto" w:fill="FDE9D9" w:themeFill="accent6" w:themeFillTint="33"/>
          </w:tcPr>
          <w:p w:rsidR="00B8091B" w:rsidRPr="00F64434" w:rsidRDefault="00B8091B" w:rsidP="00F6443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388" w:type="dxa"/>
            <w:vMerge/>
            <w:shd w:val="clear" w:color="auto" w:fill="FDE9D9" w:themeFill="accent6" w:themeFillTint="33"/>
          </w:tcPr>
          <w:p w:rsidR="00B8091B" w:rsidRPr="00F64434" w:rsidRDefault="00B8091B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B8091B" w:rsidRDefault="00B8091B" w:rsidP="00354B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نسبة مشروعات الخطة الاستراتيجية المقبولة أو المقبولة بتعديلات غير جوهرية من الكليات والوحدات الإدارية  من التحكيم الأول . 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B8091B" w:rsidRPr="00F64434" w:rsidRDefault="00B8091B" w:rsidP="00AD50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B8091B" w:rsidRPr="00F64434" w:rsidRDefault="00354B78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لا تقل عن 50%.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B8091B" w:rsidRPr="00F64434" w:rsidRDefault="00B8091B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54B78" w:rsidTr="0073627B">
        <w:trPr>
          <w:jc w:val="center"/>
        </w:trPr>
        <w:tc>
          <w:tcPr>
            <w:tcW w:w="3704" w:type="dxa"/>
            <w:vMerge w:val="restart"/>
            <w:shd w:val="clear" w:color="auto" w:fill="FDE9D9" w:themeFill="accent6" w:themeFillTint="33"/>
          </w:tcPr>
          <w:p w:rsidR="00354B78" w:rsidRPr="008D0097" w:rsidRDefault="00354B78" w:rsidP="00B8091B">
            <w:pPr>
              <w:autoSpaceDE w:val="0"/>
              <w:autoSpaceDN w:val="0"/>
              <w:adjustRightInd w:val="0"/>
              <w:jc w:val="lowKashida"/>
              <w:textAlignment w:val="center"/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</w:pP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دعم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الأمانة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العامة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لتنفيذ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ومتابعة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الخطة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الاستراتيجية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للجامعة في تنفيذ مهامها.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</w:p>
          <w:p w:rsidR="00354B78" w:rsidRPr="00F64434" w:rsidRDefault="00354B78" w:rsidP="00F6443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YE"/>
              </w:rPr>
            </w:pPr>
          </w:p>
        </w:tc>
        <w:tc>
          <w:tcPr>
            <w:tcW w:w="1388" w:type="dxa"/>
            <w:vMerge w:val="restart"/>
            <w:shd w:val="clear" w:color="auto" w:fill="FDE9D9" w:themeFill="accent6" w:themeFillTint="33"/>
          </w:tcPr>
          <w:p w:rsidR="00354B78" w:rsidRPr="00F64434" w:rsidRDefault="006F546C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20%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354B78" w:rsidRPr="00F64434" w:rsidRDefault="00354B78" w:rsidP="00354B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نسبة الإنجاز السنوي  لمشروعات الخطة الاستراتيجية للجامعة.  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354B78" w:rsidRPr="00F64434" w:rsidRDefault="00354B78" w:rsidP="00AD50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354B78" w:rsidRPr="00F64434" w:rsidRDefault="00354B78" w:rsidP="00354B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عدد مشروعات الخطة الاستراتيجية المنجزة بنهاية العام/ اجمالي عدد المشروعات المخطط لإنجازها خلال نفس العام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100 (النسبة لا تقل عن 80%).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354B78" w:rsidRPr="00F64434" w:rsidRDefault="00354B78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54B78" w:rsidTr="0073627B">
        <w:trPr>
          <w:jc w:val="center"/>
        </w:trPr>
        <w:tc>
          <w:tcPr>
            <w:tcW w:w="3704" w:type="dxa"/>
            <w:vMerge/>
            <w:shd w:val="clear" w:color="auto" w:fill="FDE9D9" w:themeFill="accent6" w:themeFillTint="33"/>
          </w:tcPr>
          <w:p w:rsidR="00354B78" w:rsidRPr="00F64434" w:rsidRDefault="00354B78" w:rsidP="00F6443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8" w:type="dxa"/>
            <w:vMerge/>
            <w:shd w:val="clear" w:color="auto" w:fill="FDE9D9" w:themeFill="accent6" w:themeFillTint="33"/>
          </w:tcPr>
          <w:p w:rsidR="00354B78" w:rsidRPr="00F64434" w:rsidRDefault="00354B78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54B78" w:rsidRDefault="00354B78" w:rsidP="00354B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نسبة </w:t>
            </w:r>
            <w:r w:rsidRPr="009A542A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 xml:space="preserve"> تقارير مراجعة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تنفيذ مشروعات الخطة الاستراتيجية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lastRenderedPageBreak/>
              <w:t>للجامعة.</w:t>
            </w:r>
          </w:p>
          <w:p w:rsidR="00354B78" w:rsidRPr="00F64434" w:rsidRDefault="00354B78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shd w:val="clear" w:color="auto" w:fill="FDE9D9" w:themeFill="accent6" w:themeFillTint="33"/>
          </w:tcPr>
          <w:p w:rsidR="00354B78" w:rsidRPr="00F64434" w:rsidRDefault="00354B78" w:rsidP="00AD50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lastRenderedPageBreak/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354B78" w:rsidRPr="00F64434" w:rsidRDefault="00354B78" w:rsidP="00354B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عدد تقارير مراجعة تنفيذ المشروعات/ اجمالي عدد التقارير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lastRenderedPageBreak/>
              <w:t xml:space="preserve">المرفوعة عن انجاز مشروعات الخطة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100 (النسبة المستهدفة 100%).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354B78" w:rsidRPr="00F64434" w:rsidRDefault="00354B78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354B78" w:rsidTr="0073627B">
        <w:trPr>
          <w:jc w:val="center"/>
        </w:trPr>
        <w:tc>
          <w:tcPr>
            <w:tcW w:w="3704" w:type="dxa"/>
            <w:vMerge/>
            <w:shd w:val="clear" w:color="auto" w:fill="FDE9D9" w:themeFill="accent6" w:themeFillTint="33"/>
          </w:tcPr>
          <w:p w:rsidR="00354B78" w:rsidRPr="00F64434" w:rsidRDefault="00354B78" w:rsidP="00F64434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8" w:type="dxa"/>
            <w:vMerge/>
            <w:shd w:val="clear" w:color="auto" w:fill="FDE9D9" w:themeFill="accent6" w:themeFillTint="33"/>
          </w:tcPr>
          <w:p w:rsidR="00354B78" w:rsidRPr="00F64434" w:rsidRDefault="00354B78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354B78" w:rsidRDefault="00354B78" w:rsidP="00354B78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نسبة التحديث السنوي للخطة التنفيذية للجامعة. 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354B78" w:rsidRPr="00F64434" w:rsidRDefault="00354B78" w:rsidP="00AD5087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F6443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............</w:t>
            </w:r>
          </w:p>
        </w:tc>
        <w:tc>
          <w:tcPr>
            <w:tcW w:w="2348" w:type="dxa"/>
            <w:shd w:val="clear" w:color="auto" w:fill="FDE9D9" w:themeFill="accent6" w:themeFillTint="33"/>
          </w:tcPr>
          <w:p w:rsidR="00354B78" w:rsidRPr="00F64434" w:rsidRDefault="00354B78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100%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354B78" w:rsidRPr="00F64434" w:rsidRDefault="00354B78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F546C" w:rsidTr="0073627B">
        <w:trPr>
          <w:jc w:val="center"/>
        </w:trPr>
        <w:tc>
          <w:tcPr>
            <w:tcW w:w="3704" w:type="dxa"/>
            <w:vMerge w:val="restart"/>
            <w:shd w:val="clear" w:color="auto" w:fill="FDE9D9" w:themeFill="accent6" w:themeFillTint="33"/>
          </w:tcPr>
          <w:p w:rsidR="006F546C" w:rsidRPr="008D0097" w:rsidRDefault="006F546C" w:rsidP="006F546C">
            <w:pPr>
              <w:autoSpaceDE w:val="0"/>
              <w:autoSpaceDN w:val="0"/>
              <w:adjustRightInd w:val="0"/>
              <w:jc w:val="lowKashida"/>
              <w:textAlignment w:val="center"/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</w:pP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تعزيز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 xml:space="preserve">التواصل 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بين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عمادة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التطوير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والجودة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بالجامعة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ووحدات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التطوير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والجودة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بالكليات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proofErr w:type="spellStart"/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والعمادات</w:t>
            </w:r>
            <w:proofErr w:type="spellEnd"/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المساندة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والوحدات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الإدارية</w:t>
            </w:r>
            <w:r w:rsidRPr="008D0097">
              <w:rPr>
                <w:rFonts w:ascii="AXtShareQ" w:hAnsi="AXtShareQ" w:cs="mohammad bold art 1"/>
                <w:sz w:val="28"/>
                <w:szCs w:val="28"/>
                <w:rtl/>
                <w:lang w:bidi="ar-YE"/>
              </w:rPr>
              <w:t xml:space="preserve"> </w:t>
            </w:r>
            <w:r w:rsidRPr="008D0097">
              <w:rPr>
                <w:rFonts w:ascii="AXtShareQ" w:hAnsi="AXtShareQ" w:cs="mohammad bold art 1" w:hint="cs"/>
                <w:sz w:val="28"/>
                <w:szCs w:val="28"/>
                <w:rtl/>
                <w:lang w:bidi="ar-YE"/>
              </w:rPr>
              <w:t>بالجامعة.</w:t>
            </w:r>
          </w:p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YE"/>
              </w:rPr>
            </w:pPr>
          </w:p>
        </w:tc>
        <w:tc>
          <w:tcPr>
            <w:tcW w:w="1388" w:type="dxa"/>
            <w:vMerge w:val="restart"/>
            <w:shd w:val="clear" w:color="auto" w:fill="FDE9D9" w:themeFill="accent6" w:themeFillTint="33"/>
          </w:tcPr>
          <w:p w:rsidR="006F546C" w:rsidRPr="00F64434" w:rsidRDefault="006F546C" w:rsidP="006F546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20%</w:t>
            </w:r>
          </w:p>
        </w:tc>
        <w:tc>
          <w:tcPr>
            <w:tcW w:w="2268" w:type="dxa"/>
            <w:shd w:val="clear" w:color="auto" w:fill="FDE9D9" w:themeFill="accent6" w:themeFillTint="33"/>
          </w:tcPr>
          <w:p w:rsidR="006F546C" w:rsidRPr="00F64434" w:rsidRDefault="006F546C" w:rsidP="000D080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نسبة الشكاوى المقدمة من البرامج والكليات التي تتعلق بضعف التواصل مع الوحدة.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6F546C" w:rsidRPr="00F64434" w:rsidRDefault="006F546C" w:rsidP="00EE1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8" w:type="dxa"/>
            <w:shd w:val="clear" w:color="auto" w:fill="FDE9D9" w:themeFill="accent6" w:themeFillTint="33"/>
          </w:tcPr>
          <w:p w:rsidR="006F546C" w:rsidRPr="00F64434" w:rsidRDefault="006F546C" w:rsidP="000D080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اجمالي عدد الشكاوى المقدمة خلال العام حول الدعم المقدم من وحدة التخطيط والمتابعة/ اجمالي عدد الوحدات الأكاديمية والادارية المقدم دعم لها خلال العام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×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 100 (النسبة لا تزيد عن 5%).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  <w:tr w:rsidR="006F546C" w:rsidTr="0073627B">
        <w:trPr>
          <w:jc w:val="center"/>
        </w:trPr>
        <w:tc>
          <w:tcPr>
            <w:tcW w:w="3704" w:type="dxa"/>
            <w:vMerge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8" w:type="dxa"/>
            <w:vMerge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FDE9D9" w:themeFill="accent6" w:themeFillTint="33"/>
          </w:tcPr>
          <w:p w:rsidR="006F546C" w:rsidRPr="00F64434" w:rsidRDefault="006F546C" w:rsidP="000D0807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 xml:space="preserve">نسبة رضا المستفيدين عن التواصل بينهم وبين عمادة التطوير والجودة. </w:t>
            </w:r>
          </w:p>
        </w:tc>
        <w:tc>
          <w:tcPr>
            <w:tcW w:w="1195" w:type="dxa"/>
            <w:shd w:val="clear" w:color="auto" w:fill="FDE9D9" w:themeFill="accent6" w:themeFillTint="33"/>
          </w:tcPr>
          <w:p w:rsidR="006F546C" w:rsidRPr="00F64434" w:rsidRDefault="006F546C" w:rsidP="00EE110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8" w:type="dxa"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</w:rPr>
              <w:t>لا تقل عن 80%</w:t>
            </w:r>
          </w:p>
        </w:tc>
        <w:tc>
          <w:tcPr>
            <w:tcW w:w="2333" w:type="dxa"/>
            <w:shd w:val="clear" w:color="auto" w:fill="FDE9D9" w:themeFill="accent6" w:themeFillTint="33"/>
          </w:tcPr>
          <w:p w:rsidR="006F546C" w:rsidRPr="00F64434" w:rsidRDefault="006F546C" w:rsidP="009A542A">
            <w:pPr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</w:p>
        </w:tc>
      </w:tr>
    </w:tbl>
    <w:p w:rsidR="00E124E5" w:rsidRPr="009A542A" w:rsidRDefault="00DE06C4" w:rsidP="003A112D">
      <w:pPr>
        <w:spacing w:after="0" w:line="240" w:lineRule="auto"/>
        <w:jc w:val="both"/>
        <w:rPr>
          <w:rFonts w:ascii="Arial" w:hAnsi="Arial" w:cs="PT Bold Heading"/>
          <w:b/>
          <w:bCs/>
          <w:sz w:val="20"/>
          <w:szCs w:val="20"/>
          <w:rtl/>
        </w:rPr>
      </w:pPr>
      <w:r w:rsidRPr="009A542A">
        <w:rPr>
          <w:rFonts w:ascii="Arial" w:hAnsi="Arial" w:cs="PT Bold Heading" w:hint="cs"/>
          <w:b/>
          <w:bCs/>
          <w:sz w:val="20"/>
          <w:szCs w:val="20"/>
          <w:rtl/>
        </w:rPr>
        <w:t>المؤشرات التي حققت المستهدف</w:t>
      </w:r>
      <w:r w:rsidR="003A112D">
        <w:rPr>
          <w:rFonts w:ascii="Arial" w:hAnsi="Arial" w:cs="PT Bold Heading" w:hint="cs"/>
          <w:b/>
          <w:bCs/>
          <w:sz w:val="20"/>
          <w:szCs w:val="20"/>
          <w:rtl/>
        </w:rPr>
        <w:t xml:space="preserve"> / تجاوزته</w:t>
      </w:r>
      <w:r w:rsidRPr="009A542A">
        <w:rPr>
          <w:rFonts w:ascii="Arial" w:hAnsi="Arial" w:cs="PT Bold Heading" w:hint="cs"/>
          <w:b/>
          <w:bCs/>
          <w:sz w:val="20"/>
          <w:szCs w:val="20"/>
          <w:rtl/>
        </w:rPr>
        <w:t>:</w:t>
      </w:r>
    </w:p>
    <w:p w:rsidR="00DE06C4" w:rsidRDefault="009A542A" w:rsidP="009A542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 w:hint="cs"/>
          <w:b/>
          <w:bCs/>
          <w:sz w:val="20"/>
          <w:szCs w:val="20"/>
          <w:rtl/>
        </w:rPr>
        <w:t>............................................................................</w:t>
      </w:r>
    </w:p>
    <w:p w:rsidR="009A542A" w:rsidRDefault="009A542A" w:rsidP="009A542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 w:hint="cs"/>
          <w:b/>
          <w:bCs/>
          <w:sz w:val="20"/>
          <w:szCs w:val="20"/>
          <w:rtl/>
        </w:rPr>
        <w:t>............................................................................</w:t>
      </w:r>
    </w:p>
    <w:p w:rsidR="009A542A" w:rsidRDefault="009A542A" w:rsidP="009A542A">
      <w:pPr>
        <w:pStyle w:val="a8"/>
        <w:numPr>
          <w:ilvl w:val="0"/>
          <w:numId w:val="1"/>
        </w:numPr>
        <w:spacing w:after="0" w:line="240" w:lineRule="auto"/>
        <w:jc w:val="both"/>
        <w:rPr>
          <w:rFonts w:ascii="Arial" w:hAnsi="Arial" w:cs="Times New Roman"/>
          <w:b/>
          <w:bCs/>
          <w:sz w:val="20"/>
          <w:szCs w:val="20"/>
        </w:rPr>
      </w:pPr>
      <w:r>
        <w:rPr>
          <w:rFonts w:ascii="Arial" w:hAnsi="Arial" w:cs="Times New Roman" w:hint="cs"/>
          <w:b/>
          <w:bCs/>
          <w:sz w:val="20"/>
          <w:szCs w:val="20"/>
          <w:rtl/>
        </w:rPr>
        <w:t>...........................................................................</w:t>
      </w:r>
    </w:p>
    <w:p w:rsidR="009A542A" w:rsidRPr="009A542A" w:rsidRDefault="009A542A" w:rsidP="009A542A">
      <w:pPr>
        <w:spacing w:after="0" w:line="240" w:lineRule="auto"/>
        <w:jc w:val="both"/>
        <w:rPr>
          <w:rFonts w:ascii="Arial" w:hAnsi="Arial" w:cs="Times New Roman"/>
          <w:b/>
          <w:bCs/>
          <w:sz w:val="20"/>
          <w:szCs w:val="20"/>
          <w:rtl/>
        </w:rPr>
      </w:pPr>
    </w:p>
    <w:p w:rsidR="00DE06C4" w:rsidRPr="009A542A" w:rsidRDefault="00DE06C4" w:rsidP="009A542A">
      <w:pPr>
        <w:spacing w:after="0" w:line="240" w:lineRule="auto"/>
        <w:jc w:val="both"/>
        <w:rPr>
          <w:rFonts w:ascii="Arial" w:hAnsi="Arial" w:cs="PT Bold Heading"/>
          <w:b/>
          <w:bCs/>
          <w:sz w:val="20"/>
          <w:szCs w:val="20"/>
          <w:rtl/>
        </w:rPr>
      </w:pPr>
      <w:r w:rsidRPr="009A542A">
        <w:rPr>
          <w:rFonts w:ascii="Arial" w:hAnsi="Arial" w:cs="PT Bold Heading" w:hint="cs"/>
          <w:b/>
          <w:bCs/>
          <w:sz w:val="20"/>
          <w:szCs w:val="20"/>
          <w:rtl/>
        </w:rPr>
        <w:t>المؤشرات التي لم تحقق المستهدف:</w:t>
      </w:r>
    </w:p>
    <w:p w:rsidR="009A542A" w:rsidRPr="009A542A" w:rsidRDefault="009A542A" w:rsidP="009A542A">
      <w:pPr>
        <w:spacing w:after="0" w:line="240" w:lineRule="auto"/>
        <w:rPr>
          <w:rFonts w:ascii="Arial" w:hAnsi="Arial" w:cs="PT Bold Heading"/>
          <w:b/>
          <w:bCs/>
          <w:sz w:val="20"/>
          <w:szCs w:val="20"/>
          <w:rtl/>
        </w:rPr>
      </w:pPr>
      <w:r w:rsidRPr="009A542A">
        <w:rPr>
          <w:rFonts w:ascii="Arial" w:hAnsi="Arial" w:cs="PT Bold Heading"/>
          <w:b/>
          <w:bCs/>
          <w:sz w:val="20"/>
          <w:szCs w:val="20"/>
          <w:rtl/>
        </w:rPr>
        <w:t>1-</w:t>
      </w:r>
      <w:r w:rsidRPr="009A542A">
        <w:rPr>
          <w:rFonts w:ascii="Arial" w:hAnsi="Arial" w:cs="PT Bold Heading"/>
          <w:b/>
          <w:bCs/>
          <w:sz w:val="20"/>
          <w:szCs w:val="20"/>
          <w:rtl/>
        </w:rPr>
        <w:tab/>
        <w:t>............................................................................</w:t>
      </w:r>
    </w:p>
    <w:p w:rsidR="009A542A" w:rsidRPr="009A542A" w:rsidRDefault="009A542A" w:rsidP="009A542A">
      <w:pPr>
        <w:spacing w:after="0" w:line="240" w:lineRule="auto"/>
        <w:rPr>
          <w:rFonts w:ascii="Arial" w:hAnsi="Arial" w:cs="PT Bold Heading"/>
          <w:b/>
          <w:bCs/>
          <w:sz w:val="20"/>
          <w:szCs w:val="20"/>
          <w:rtl/>
        </w:rPr>
      </w:pPr>
      <w:r w:rsidRPr="009A542A">
        <w:rPr>
          <w:rFonts w:ascii="Arial" w:hAnsi="Arial" w:cs="PT Bold Heading"/>
          <w:b/>
          <w:bCs/>
          <w:sz w:val="20"/>
          <w:szCs w:val="20"/>
          <w:rtl/>
        </w:rPr>
        <w:t>2-</w:t>
      </w:r>
      <w:r w:rsidRPr="009A542A">
        <w:rPr>
          <w:rFonts w:ascii="Arial" w:hAnsi="Arial" w:cs="PT Bold Heading"/>
          <w:b/>
          <w:bCs/>
          <w:sz w:val="20"/>
          <w:szCs w:val="20"/>
          <w:rtl/>
        </w:rPr>
        <w:tab/>
        <w:t>............................................................................</w:t>
      </w:r>
    </w:p>
    <w:p w:rsidR="00DE06C4" w:rsidRPr="009A542A" w:rsidRDefault="009A542A" w:rsidP="00F64434">
      <w:pPr>
        <w:spacing w:after="0" w:line="240" w:lineRule="auto"/>
        <w:jc w:val="both"/>
        <w:rPr>
          <w:rFonts w:ascii="Arial" w:hAnsi="Arial" w:cs="PT Bold Heading"/>
          <w:b/>
          <w:bCs/>
          <w:sz w:val="20"/>
          <w:szCs w:val="20"/>
          <w:rtl/>
        </w:rPr>
      </w:pPr>
      <w:r w:rsidRPr="009A542A">
        <w:rPr>
          <w:rFonts w:ascii="Arial" w:hAnsi="Arial" w:cs="PT Bold Heading"/>
          <w:b/>
          <w:bCs/>
          <w:sz w:val="20"/>
          <w:szCs w:val="20"/>
          <w:rtl/>
        </w:rPr>
        <w:t>3-</w:t>
      </w:r>
      <w:r w:rsidRPr="009A542A">
        <w:rPr>
          <w:rFonts w:ascii="Arial" w:hAnsi="Arial" w:cs="PT Bold Heading"/>
          <w:b/>
          <w:bCs/>
          <w:sz w:val="20"/>
          <w:szCs w:val="20"/>
          <w:rtl/>
        </w:rPr>
        <w:tab/>
        <w:t>...............................................................</w:t>
      </w:r>
    </w:p>
    <w:p w:rsidR="009A542A" w:rsidRDefault="009A542A" w:rsidP="009A542A">
      <w:pPr>
        <w:spacing w:after="0" w:line="240" w:lineRule="auto"/>
        <w:jc w:val="both"/>
        <w:rPr>
          <w:rFonts w:ascii="Arial" w:hAnsi="Arial" w:cs="PT Bold Heading"/>
          <w:b/>
          <w:bCs/>
          <w:sz w:val="20"/>
          <w:szCs w:val="20"/>
          <w:rtl/>
        </w:rPr>
      </w:pPr>
    </w:p>
    <w:p w:rsidR="00DE06C4" w:rsidRDefault="00F64434" w:rsidP="009A542A">
      <w:pPr>
        <w:spacing w:after="0" w:line="240" w:lineRule="auto"/>
        <w:jc w:val="both"/>
        <w:rPr>
          <w:rtl/>
        </w:rPr>
      </w:pPr>
      <w:r>
        <w:rPr>
          <w:rFonts w:ascii="Arial" w:hAnsi="Arial" w:cs="PT Bold Heading" w:hint="cs"/>
          <w:b/>
          <w:bCs/>
          <w:sz w:val="20"/>
          <w:szCs w:val="20"/>
          <w:rtl/>
        </w:rPr>
        <w:lastRenderedPageBreak/>
        <w:t>أولويات</w:t>
      </w:r>
      <w:r w:rsidR="00DE06C4" w:rsidRPr="009A542A">
        <w:rPr>
          <w:rFonts w:ascii="Arial" w:hAnsi="Arial" w:cs="PT Bold Heading" w:hint="cs"/>
          <w:b/>
          <w:bCs/>
          <w:sz w:val="20"/>
          <w:szCs w:val="20"/>
          <w:rtl/>
        </w:rPr>
        <w:t xml:space="preserve"> التحسين:</w:t>
      </w:r>
    </w:p>
    <w:p w:rsidR="009A542A" w:rsidRDefault="009A542A" w:rsidP="009A542A">
      <w:pPr>
        <w:spacing w:after="0" w:line="240" w:lineRule="auto"/>
        <w:rPr>
          <w:rtl/>
        </w:rPr>
      </w:pPr>
      <w:r>
        <w:rPr>
          <w:rtl/>
        </w:rPr>
        <w:t>1-</w:t>
      </w:r>
      <w:r>
        <w:rPr>
          <w:rtl/>
        </w:rPr>
        <w:tab/>
        <w:t>............................................................................</w:t>
      </w:r>
    </w:p>
    <w:p w:rsidR="009A542A" w:rsidRDefault="009A542A" w:rsidP="009A542A">
      <w:pPr>
        <w:spacing w:after="0" w:line="240" w:lineRule="auto"/>
        <w:rPr>
          <w:rtl/>
        </w:rPr>
      </w:pPr>
      <w:r>
        <w:rPr>
          <w:rtl/>
        </w:rPr>
        <w:t>2-</w:t>
      </w:r>
      <w:r>
        <w:rPr>
          <w:rtl/>
        </w:rPr>
        <w:tab/>
        <w:t>............................................................................</w:t>
      </w:r>
    </w:p>
    <w:p w:rsidR="009A542A" w:rsidRDefault="0073627B" w:rsidP="0073627B">
      <w:pPr>
        <w:spacing w:after="0" w:line="240" w:lineRule="auto"/>
        <w:jc w:val="both"/>
        <w:rPr>
          <w:rtl/>
        </w:rPr>
      </w:pPr>
      <w:r>
        <w:rPr>
          <w:rFonts w:hint="cs"/>
          <w:rtl/>
        </w:rPr>
        <w:t>3-</w:t>
      </w:r>
      <w:r w:rsidR="009A542A">
        <w:rPr>
          <w:rtl/>
        </w:rPr>
        <w:t>...........................................................................</w:t>
      </w:r>
    </w:p>
    <w:p w:rsidR="0073627B" w:rsidRDefault="0073627B" w:rsidP="0073627B">
      <w:pPr>
        <w:spacing w:after="0" w:line="240" w:lineRule="auto"/>
        <w:jc w:val="both"/>
        <w:rPr>
          <w:rtl/>
        </w:rPr>
      </w:pPr>
    </w:p>
    <w:p w:rsidR="0073627B" w:rsidRDefault="0073627B" w:rsidP="0073627B">
      <w:pPr>
        <w:spacing w:after="0" w:line="240" w:lineRule="auto"/>
        <w:jc w:val="center"/>
        <w:rPr>
          <w:b/>
          <w:bCs/>
          <w:sz w:val="30"/>
          <w:szCs w:val="30"/>
          <w:rtl/>
        </w:rPr>
      </w:pPr>
      <w:r w:rsidRPr="0073627B">
        <w:rPr>
          <w:rFonts w:hint="cs"/>
          <w:b/>
          <w:bCs/>
          <w:sz w:val="30"/>
          <w:szCs w:val="30"/>
          <w:rtl/>
        </w:rPr>
        <w:t>توقيع رئيس وحدة التخطيط والمتابعة</w:t>
      </w:r>
    </w:p>
    <w:p w:rsidR="008D0097" w:rsidRDefault="008D0097" w:rsidP="0073627B">
      <w:pPr>
        <w:spacing w:after="0" w:line="240" w:lineRule="auto"/>
        <w:jc w:val="center"/>
        <w:rPr>
          <w:b/>
          <w:bCs/>
          <w:sz w:val="30"/>
          <w:szCs w:val="30"/>
          <w:rtl/>
        </w:rPr>
      </w:pPr>
    </w:p>
    <w:p w:rsidR="008D0097" w:rsidRDefault="008D0097" w:rsidP="0073627B">
      <w:pPr>
        <w:spacing w:after="0" w:line="240" w:lineRule="auto"/>
        <w:jc w:val="center"/>
        <w:rPr>
          <w:b/>
          <w:bCs/>
          <w:sz w:val="30"/>
          <w:szCs w:val="30"/>
          <w:rtl/>
        </w:rPr>
      </w:pPr>
    </w:p>
    <w:p w:rsidR="008D0097" w:rsidRPr="0073627B" w:rsidRDefault="008D0097" w:rsidP="0073627B">
      <w:pPr>
        <w:spacing w:after="0" w:line="240" w:lineRule="auto"/>
        <w:jc w:val="center"/>
        <w:rPr>
          <w:b/>
          <w:bCs/>
          <w:sz w:val="30"/>
          <w:szCs w:val="30"/>
          <w:lang w:bidi="ar-YE"/>
        </w:rPr>
      </w:pPr>
    </w:p>
    <w:sectPr w:rsidR="008D0097" w:rsidRPr="0073627B" w:rsidSect="004541C6">
      <w:headerReference w:type="default" r:id="rId10"/>
      <w:footerReference w:type="default" r:id="rId11"/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01" w:rsidRDefault="00120501" w:rsidP="004541C6">
      <w:pPr>
        <w:spacing w:after="0" w:line="240" w:lineRule="auto"/>
      </w:pPr>
      <w:r>
        <w:separator/>
      </w:r>
    </w:p>
  </w:endnote>
  <w:endnote w:type="continuationSeparator" w:id="0">
    <w:p w:rsidR="00120501" w:rsidRDefault="00120501" w:rsidP="00454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XtShareQ">
    <w:altName w:val="Arial"/>
    <w:panose1 w:val="00000000000000000000"/>
    <w:charset w:val="00"/>
    <w:family w:val="modern"/>
    <w:notTrueType/>
    <w:pitch w:val="variable"/>
    <w:sig w:usb0="00000003" w:usb1="10002048" w:usb2="00000000" w:usb3="00000000" w:csb0="00000111" w:csb1="00000000"/>
  </w:font>
  <w:font w:name="mohammad bold art 1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4188"/>
    </w:tblGrid>
    <w:tr w:rsidR="00C86049" w:rsidRPr="004E27A0" w:rsidTr="005409CA">
      <w:tc>
        <w:tcPr>
          <w:tcW w:w="4500" w:type="pct"/>
          <w:tcBorders>
            <w:top w:val="single" w:sz="4" w:space="0" w:color="auto"/>
          </w:tcBorders>
        </w:tcPr>
        <w:p w:rsidR="00C86049" w:rsidRPr="004E27A0" w:rsidRDefault="00C86049" w:rsidP="00896EDC">
          <w:pPr>
            <w:pStyle w:val="a6"/>
          </w:pPr>
        </w:p>
      </w:tc>
    </w:tr>
  </w:tbl>
  <w:p w:rsidR="004541C6" w:rsidRDefault="004541C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01" w:rsidRDefault="00120501" w:rsidP="004541C6">
      <w:pPr>
        <w:spacing w:after="0" w:line="240" w:lineRule="auto"/>
      </w:pPr>
      <w:r>
        <w:separator/>
      </w:r>
    </w:p>
  </w:footnote>
  <w:footnote w:type="continuationSeparator" w:id="0">
    <w:p w:rsidR="00120501" w:rsidRDefault="00120501" w:rsidP="004541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BE" w:rsidRDefault="008850BE" w:rsidP="008850BE">
    <w:pPr>
      <w:pStyle w:val="a3"/>
      <w:jc w:val="center"/>
    </w:pPr>
    <w:r w:rsidRPr="008850BE">
      <w:rPr>
        <w:rFonts w:cs="Arial"/>
        <w:noProof/>
        <w:rtl/>
      </w:rPr>
      <w:drawing>
        <wp:inline distT="0" distB="0" distL="0" distR="0" wp14:anchorId="3048AE40" wp14:editId="6F51A5F6">
          <wp:extent cx="1063869" cy="717178"/>
          <wp:effectExtent l="19050" t="0" r="2931" b="0"/>
          <wp:docPr id="3" name="Picture 40" descr="https://encrypted-tbn0.gstatic.com/images?q=tbn:ANd9GcThqYjxmcMJvInnVwo2EknRr1ac7jhBsoMJZFeLSLjAFWe23Vt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encrypted-tbn0.gstatic.com/images?q=tbn:ANd9GcThqYjxmcMJvInnVwo2EknRr1ac7jhBsoMJZFeLSLjAFWe23Vt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064" cy="718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0BE" w:rsidRDefault="008850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1973"/>
    <w:multiLevelType w:val="hybridMultilevel"/>
    <w:tmpl w:val="68D06DA4"/>
    <w:lvl w:ilvl="0" w:tplc="FD241198">
      <w:start w:val="1"/>
      <w:numFmt w:val="decimal"/>
      <w:lvlText w:val="%1-"/>
      <w:lvlJc w:val="left"/>
      <w:pPr>
        <w:ind w:left="36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1267C"/>
    <w:multiLevelType w:val="hybridMultilevel"/>
    <w:tmpl w:val="E5884974"/>
    <w:lvl w:ilvl="0" w:tplc="F88224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9727D3"/>
    <w:multiLevelType w:val="hybridMultilevel"/>
    <w:tmpl w:val="1D42D86A"/>
    <w:lvl w:ilvl="0" w:tplc="70A28FE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842001"/>
    <w:multiLevelType w:val="hybridMultilevel"/>
    <w:tmpl w:val="8E06E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1C6"/>
    <w:rsid w:val="00006CDB"/>
    <w:rsid w:val="00065C24"/>
    <w:rsid w:val="00084E60"/>
    <w:rsid w:val="000B3289"/>
    <w:rsid w:val="000B425D"/>
    <w:rsid w:val="000D0807"/>
    <w:rsid w:val="000F51EF"/>
    <w:rsid w:val="0011625C"/>
    <w:rsid w:val="00120501"/>
    <w:rsid w:val="00176C9E"/>
    <w:rsid w:val="001D0191"/>
    <w:rsid w:val="00223BDF"/>
    <w:rsid w:val="00237040"/>
    <w:rsid w:val="00274109"/>
    <w:rsid w:val="00354B78"/>
    <w:rsid w:val="003A112D"/>
    <w:rsid w:val="003A734F"/>
    <w:rsid w:val="003E5819"/>
    <w:rsid w:val="004541C6"/>
    <w:rsid w:val="0046143E"/>
    <w:rsid w:val="00533675"/>
    <w:rsid w:val="0063102E"/>
    <w:rsid w:val="00651AFE"/>
    <w:rsid w:val="006F29A2"/>
    <w:rsid w:val="006F546C"/>
    <w:rsid w:val="0073627B"/>
    <w:rsid w:val="00737C0D"/>
    <w:rsid w:val="00762B71"/>
    <w:rsid w:val="00795202"/>
    <w:rsid w:val="008629F5"/>
    <w:rsid w:val="008850BE"/>
    <w:rsid w:val="00896EDC"/>
    <w:rsid w:val="008B5AF4"/>
    <w:rsid w:val="008D0097"/>
    <w:rsid w:val="00925B21"/>
    <w:rsid w:val="009302EE"/>
    <w:rsid w:val="00967400"/>
    <w:rsid w:val="009A542A"/>
    <w:rsid w:val="00AF62A7"/>
    <w:rsid w:val="00B42EBD"/>
    <w:rsid w:val="00B8091B"/>
    <w:rsid w:val="00C30443"/>
    <w:rsid w:val="00C42A1F"/>
    <w:rsid w:val="00C86049"/>
    <w:rsid w:val="00D227F7"/>
    <w:rsid w:val="00D75DF1"/>
    <w:rsid w:val="00DA4FF4"/>
    <w:rsid w:val="00DE06C4"/>
    <w:rsid w:val="00DF4DE3"/>
    <w:rsid w:val="00E124E5"/>
    <w:rsid w:val="00E23A77"/>
    <w:rsid w:val="00E53B99"/>
    <w:rsid w:val="00F6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49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Char"/>
    <w:qFormat/>
    <w:rsid w:val="004541C6"/>
    <w:pPr>
      <w:keepNext/>
      <w:bidi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4541C6"/>
  </w:style>
  <w:style w:type="paragraph" w:styleId="a4">
    <w:name w:val="footer"/>
    <w:basedOn w:val="a"/>
    <w:link w:val="Char0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4541C6"/>
  </w:style>
  <w:style w:type="paragraph" w:styleId="a5">
    <w:name w:val="Balloon Text"/>
    <w:basedOn w:val="a"/>
    <w:link w:val="Char1"/>
    <w:uiPriority w:val="99"/>
    <w:semiHidden/>
    <w:unhideWhenUsed/>
    <w:rsid w:val="004541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41C6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4541C6"/>
    <w:rPr>
      <w:rFonts w:ascii="Arial" w:eastAsia="Times New Roman" w:hAnsi="Arial" w:cs="Arial"/>
      <w:b/>
      <w:bCs/>
      <w:sz w:val="26"/>
      <w:szCs w:val="26"/>
    </w:rPr>
  </w:style>
  <w:style w:type="paragraph" w:customStyle="1" w:styleId="a6">
    <w:basedOn w:val="a"/>
    <w:next w:val="a4"/>
    <w:link w:val="Char2"/>
    <w:uiPriority w:val="99"/>
    <w:unhideWhenUsed/>
    <w:rsid w:val="00C8604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2">
    <w:name w:val="تذييل صفحة Char"/>
    <w:basedOn w:val="a0"/>
    <w:link w:val="a6"/>
    <w:uiPriority w:val="99"/>
    <w:rsid w:val="00C86049"/>
  </w:style>
  <w:style w:type="table" w:styleId="a7">
    <w:name w:val="Table Grid"/>
    <w:basedOn w:val="a1"/>
    <w:uiPriority w:val="59"/>
    <w:rsid w:val="003E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542A"/>
    <w:pPr>
      <w:ind w:left="720"/>
      <w:contextualSpacing/>
    </w:pPr>
  </w:style>
  <w:style w:type="paragraph" w:customStyle="1" w:styleId="a9">
    <w:name w:val="[فقرة بسيطة]"/>
    <w:basedOn w:val="a"/>
    <w:uiPriority w:val="99"/>
    <w:rsid w:val="00C42A1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bidi="ar-Y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49"/>
    <w:pPr>
      <w:bidi/>
    </w:pPr>
    <w:rPr>
      <w:rFonts w:ascii="Calibri" w:eastAsia="Calibri" w:hAnsi="Calibri" w:cs="Arial"/>
    </w:rPr>
  </w:style>
  <w:style w:type="paragraph" w:styleId="3">
    <w:name w:val="heading 3"/>
    <w:basedOn w:val="a"/>
    <w:next w:val="a"/>
    <w:link w:val="3Char"/>
    <w:qFormat/>
    <w:rsid w:val="004541C6"/>
    <w:pPr>
      <w:keepNext/>
      <w:bidi w:val="0"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">
    <w:name w:val="رأس الصفحة Char"/>
    <w:basedOn w:val="a0"/>
    <w:link w:val="a3"/>
    <w:uiPriority w:val="99"/>
    <w:rsid w:val="004541C6"/>
  </w:style>
  <w:style w:type="paragraph" w:styleId="a4">
    <w:name w:val="footer"/>
    <w:basedOn w:val="a"/>
    <w:link w:val="Char0"/>
    <w:uiPriority w:val="99"/>
    <w:unhideWhenUsed/>
    <w:rsid w:val="004541C6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0">
    <w:name w:val="تذييل الصفحة Char"/>
    <w:basedOn w:val="a0"/>
    <w:link w:val="a4"/>
    <w:uiPriority w:val="99"/>
    <w:rsid w:val="004541C6"/>
  </w:style>
  <w:style w:type="paragraph" w:styleId="a5">
    <w:name w:val="Balloon Text"/>
    <w:basedOn w:val="a"/>
    <w:link w:val="Char1"/>
    <w:uiPriority w:val="99"/>
    <w:semiHidden/>
    <w:unhideWhenUsed/>
    <w:rsid w:val="004541C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4541C6"/>
    <w:rPr>
      <w:rFonts w:ascii="Tahoma" w:hAnsi="Tahoma" w:cs="Tahoma"/>
      <w:sz w:val="16"/>
      <w:szCs w:val="16"/>
    </w:rPr>
  </w:style>
  <w:style w:type="character" w:customStyle="1" w:styleId="3Char">
    <w:name w:val="عنوان 3 Char"/>
    <w:basedOn w:val="a0"/>
    <w:link w:val="3"/>
    <w:rsid w:val="004541C6"/>
    <w:rPr>
      <w:rFonts w:ascii="Arial" w:eastAsia="Times New Roman" w:hAnsi="Arial" w:cs="Arial"/>
      <w:b/>
      <w:bCs/>
      <w:sz w:val="26"/>
      <w:szCs w:val="26"/>
    </w:rPr>
  </w:style>
  <w:style w:type="paragraph" w:customStyle="1" w:styleId="a6">
    <w:basedOn w:val="a"/>
    <w:next w:val="a4"/>
    <w:link w:val="Char2"/>
    <w:uiPriority w:val="99"/>
    <w:unhideWhenUsed/>
    <w:rsid w:val="00C86049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har2">
    <w:name w:val="تذييل صفحة Char"/>
    <w:basedOn w:val="a0"/>
    <w:link w:val="a6"/>
    <w:uiPriority w:val="99"/>
    <w:rsid w:val="00C86049"/>
  </w:style>
  <w:style w:type="table" w:styleId="a7">
    <w:name w:val="Table Grid"/>
    <w:basedOn w:val="a1"/>
    <w:uiPriority w:val="59"/>
    <w:rsid w:val="003E5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A542A"/>
    <w:pPr>
      <w:ind w:left="720"/>
      <w:contextualSpacing/>
    </w:pPr>
  </w:style>
  <w:style w:type="paragraph" w:customStyle="1" w:styleId="a9">
    <w:name w:val="[فقرة بسيطة]"/>
    <w:basedOn w:val="a"/>
    <w:uiPriority w:val="99"/>
    <w:rsid w:val="00C42A1F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HAnsi" w:hAnsi="Times New Roman" w:cs="Times New Roman"/>
      <w:color w:val="000000"/>
      <w:sz w:val="24"/>
      <w:szCs w:val="24"/>
      <w:lang w:bidi="ar-Y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9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google.com.sa/imgres?hl=ar&amp;safe=active&amp;tbo=d&amp;rlz=1T4MXGB_enSA509SA509&amp;biw=1264&amp;bih=584&amp;tbm=isch&amp;tbnid=fQSYMU_WYE7LrM:&amp;imgrefurl=http://www.ckfu.org/vb/t199660.html&amp;docid=Y1Eh1xqEIUN4QM&amp;imgurl=http://i288.photobucket.com/albums/ll164/aljawarh/07-04-201121-18-26.png&amp;w=235&amp;h=159&amp;ei=ULYUUeW2OfOa0QX39ID4Dw&amp;zoom=1&amp;ved=1t:3588,r:90,s:0,i:356&amp;iact=rc&amp;dur=1445&amp;sig=106350408808167268822&amp;page=7&amp;tbnh=127&amp;tbnw=188&amp;start=81&amp;ndsp=13&amp;tx=100&amp;ty=71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رمجز الوثيقة : جودة – ن – دعم - 1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69567A-8A86-4E36-B4E7-0748289A9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EMShaban</dc:creator>
  <cp:lastModifiedBy>nu.edu.sa</cp:lastModifiedBy>
  <cp:revision>3</cp:revision>
  <cp:lastPrinted>2013-11-24T11:00:00Z</cp:lastPrinted>
  <dcterms:created xsi:type="dcterms:W3CDTF">2017-11-27T12:05:00Z</dcterms:created>
  <dcterms:modified xsi:type="dcterms:W3CDTF">2017-11-27T19:23:00Z</dcterms:modified>
</cp:coreProperties>
</file>