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2412FC4F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863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5"/>
        <w:gridCol w:w="6960"/>
        <w:gridCol w:w="6956"/>
      </w:tblGrid>
      <w:tr w:rsidR="00D50577" w:rsidRPr="005D2DDD" w14:paraId="708CBDE5" w14:textId="77777777" w:rsidTr="004B35D7">
        <w:trPr>
          <w:trHeight w:val="506"/>
        </w:trPr>
        <w:tc>
          <w:tcPr>
            <w:tcW w:w="791" w:type="pct"/>
            <w:vAlign w:val="center"/>
          </w:tcPr>
          <w:p w14:paraId="2AA8E0DE" w14:textId="1C1B646F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2105" w:type="pct"/>
            <w:vAlign w:val="center"/>
          </w:tcPr>
          <w:p w14:paraId="65F44996" w14:textId="2B783FC1" w:rsidR="00D50577" w:rsidRPr="005D2DDD" w:rsidRDefault="00D50577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9B609D">
              <w:rPr>
                <w:rFonts w:asciiTheme="majorBidi" w:hAnsiTheme="majorBidi" w:cstheme="majorBidi"/>
                <w:sz w:val="30"/>
                <w:szCs w:val="30"/>
              </w:rPr>
              <w:t>Gastrointestinal tract</w:t>
            </w:r>
            <w:r>
              <w:rPr>
                <w:rFonts w:asciiTheme="majorBidi" w:hAnsiTheme="majorBidi" w:cstheme="majorBidi"/>
                <w:sz w:val="30"/>
                <w:szCs w:val="30"/>
              </w:rPr>
              <w:t xml:space="preserve"> Course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6D9E64C5" w14:textId="3D32EE7F" w:rsidR="00D50577" w:rsidRPr="005D2DDD" w:rsidRDefault="00D50577" w:rsidP="008B5913">
            <w:pPr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D50577" w:rsidRPr="005D2DDD" w14:paraId="6FD322C7" w14:textId="77777777" w:rsidTr="004B35D7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1D32CB45" w14:textId="61E8AF7E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1857C729" w14:textId="3F32916D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337D717E">
              <w:rPr>
                <w:rFonts w:asciiTheme="majorBidi" w:hAnsiTheme="majorBidi" w:cstheme="majorBidi"/>
                <w:sz w:val="30"/>
                <w:szCs w:val="30"/>
              </w:rPr>
              <w:t>392 GIT</w:t>
            </w:r>
            <w:r w:rsidRPr="337D717E">
              <w:rPr>
                <w:rFonts w:asciiTheme="majorBidi" w:hAnsiTheme="majorBidi" w:cstheme="majorBidi"/>
                <w:sz w:val="30"/>
                <w:szCs w:val="30"/>
                <w:cs/>
              </w:rPr>
              <w:t>‎</w:t>
            </w:r>
            <w:r w:rsidRPr="337D717E">
              <w:rPr>
                <w:rFonts w:asciiTheme="majorBidi" w:hAnsiTheme="majorBidi" w:cstheme="majorBidi"/>
                <w:sz w:val="30"/>
                <w:szCs w:val="30"/>
              </w:rPr>
              <w:t>-6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45DDFA2B" w14:textId="67B7FC52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D50577" w:rsidRPr="005D2DDD" w14:paraId="2EC01D2C" w14:textId="77777777" w:rsidTr="004B35D7">
        <w:trPr>
          <w:trHeight w:val="506"/>
        </w:trPr>
        <w:tc>
          <w:tcPr>
            <w:tcW w:w="791" w:type="pct"/>
            <w:vAlign w:val="center"/>
          </w:tcPr>
          <w:p w14:paraId="402CC620" w14:textId="36A16551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vAlign w:val="center"/>
          </w:tcPr>
          <w:p w14:paraId="1FD430F4" w14:textId="1201D2ED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B609D">
              <w:rPr>
                <w:rFonts w:asciiTheme="majorBidi" w:hAnsiTheme="majorBidi" w:cstheme="majorBidi"/>
                <w:sz w:val="30"/>
                <w:szCs w:val="30"/>
              </w:rPr>
              <w:t>Bachelor of Medicine and Bachelor of Surgery (MBBS)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5DE82AD5" w14:textId="7A801C8C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D50577" w:rsidRPr="005D2DDD" w14:paraId="1F10EB1B" w14:textId="77777777" w:rsidTr="004B35D7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3932FB39" w14:textId="68B8A785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457F81E0" w14:textId="6B0576C8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 w:rsidRPr="009B609D">
              <w:rPr>
                <w:rFonts w:asciiTheme="majorBidi" w:hAnsiTheme="majorBidi" w:cstheme="majorBidi"/>
                <w:sz w:val="30"/>
                <w:szCs w:val="30"/>
                <w:lang w:bidi="ar-EG"/>
              </w:rPr>
              <w:t>N/A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014DC1D0" w14:textId="2A66D17D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</w:p>
        </w:tc>
      </w:tr>
      <w:tr w:rsidR="00D50577" w:rsidRPr="005D2DDD" w14:paraId="03026629" w14:textId="77777777" w:rsidTr="004B35D7">
        <w:trPr>
          <w:trHeight w:val="506"/>
        </w:trPr>
        <w:tc>
          <w:tcPr>
            <w:tcW w:w="791" w:type="pct"/>
            <w:vAlign w:val="center"/>
          </w:tcPr>
          <w:p w14:paraId="7062D009" w14:textId="0EFF8405" w:rsidR="00D50577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vAlign w:val="center"/>
          </w:tcPr>
          <w:p w14:paraId="507AFFAB" w14:textId="4BAAC8B2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9B609D">
              <w:rPr>
                <w:rFonts w:asciiTheme="majorBidi" w:hAnsiTheme="majorBidi" w:cstheme="majorBidi"/>
                <w:sz w:val="30"/>
                <w:szCs w:val="30"/>
              </w:rPr>
              <w:t>Medicine</w:t>
            </w:r>
          </w:p>
        </w:tc>
        <w:tc>
          <w:tcPr>
            <w:tcW w:w="2105" w:type="pct"/>
            <w:shd w:val="clear" w:color="auto" w:fill="auto"/>
            <w:vAlign w:val="center"/>
          </w:tcPr>
          <w:p w14:paraId="278A62F0" w14:textId="47A64391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  <w:tr w:rsidR="00D50577" w:rsidRPr="005D2DDD" w14:paraId="7D3B848E" w14:textId="77777777" w:rsidTr="004B35D7">
        <w:trPr>
          <w:trHeight w:val="506"/>
        </w:trPr>
        <w:tc>
          <w:tcPr>
            <w:tcW w:w="791" w:type="pct"/>
            <w:shd w:val="clear" w:color="auto" w:fill="DBE5F1" w:themeFill="accent1" w:themeFillTint="33"/>
            <w:vAlign w:val="center"/>
          </w:tcPr>
          <w:p w14:paraId="7234D2C1" w14:textId="7B785A1A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71B1301A" w14:textId="71E2402F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proofErr w:type="spellStart"/>
            <w:r w:rsidRPr="009B609D">
              <w:rPr>
                <w:rFonts w:asciiTheme="majorBidi" w:hAnsiTheme="majorBidi" w:cstheme="majorBidi"/>
                <w:sz w:val="30"/>
                <w:szCs w:val="30"/>
              </w:rPr>
              <w:t>Najran</w:t>
            </w:r>
            <w:proofErr w:type="spellEnd"/>
            <w:r w:rsidRPr="009B609D">
              <w:rPr>
                <w:rFonts w:asciiTheme="majorBidi" w:hAnsiTheme="majorBidi" w:cstheme="majorBidi"/>
                <w:sz w:val="30"/>
                <w:szCs w:val="30"/>
              </w:rPr>
              <w:t xml:space="preserve"> University</w:t>
            </w:r>
          </w:p>
        </w:tc>
        <w:tc>
          <w:tcPr>
            <w:tcW w:w="2105" w:type="pct"/>
            <w:shd w:val="clear" w:color="auto" w:fill="DBE5F1" w:themeFill="accent1" w:themeFillTint="33"/>
            <w:vAlign w:val="center"/>
          </w:tcPr>
          <w:p w14:paraId="7916DD7A" w14:textId="19AF35D7" w:rsidR="00D50577" w:rsidRPr="005D2DDD" w:rsidRDefault="00D50577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p w14:paraId="42443E88" w14:textId="42F87C8B" w:rsidR="00D50577" w:rsidRPr="00E973FE" w:rsidRDefault="004E7612" w:rsidP="009E4A94">
      <w:pPr>
        <w:pStyle w:val="Heading1"/>
        <w:numPr>
          <w:ilvl w:val="0"/>
          <w:numId w:val="1"/>
        </w:numPr>
      </w:pPr>
      <w:bookmarkStart w:id="0" w:name="_Toc951372"/>
      <w:r w:rsidRPr="00E973FE">
        <w:t xml:space="preserve">Course </w:t>
      </w:r>
      <w:r w:rsidR="00417BF7">
        <w:t>I</w:t>
      </w:r>
      <w:r w:rsidRPr="00E973FE">
        <w:t>dentificati</w:t>
      </w:r>
      <w:r w:rsidR="00D50577">
        <w:t>on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D50577" w:rsidRPr="003302F2" w14:paraId="5E99D288" w14:textId="77777777" w:rsidTr="00AC19C0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4F1FB209" w14:textId="77777777" w:rsidR="00D50577" w:rsidRPr="005D2DDD" w:rsidRDefault="00D50577" w:rsidP="00AC19C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3D1989C8">
              <w:rPr>
                <w:b/>
                <w:bCs/>
              </w:rPr>
              <w:t xml:space="preserve">  Credit hours: 6            </w:t>
            </w:r>
            <w:r w:rsidRPr="3D1989C8">
              <w:rPr>
                <w:rFonts w:asciiTheme="majorBidi" w:hAnsiTheme="majorBidi" w:cstheme="majorBidi"/>
                <w:lang w:bidi="ar-EG"/>
              </w:rPr>
              <w:t xml:space="preserve"> (4+2)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0DFDD9D1" w14:textId="77777777" w:rsidR="00D50577" w:rsidRPr="003302F2" w:rsidRDefault="00D50577" w:rsidP="00AC19C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D50577" w:rsidRPr="003302F2" w14:paraId="6DD6A439" w14:textId="77777777" w:rsidTr="00AC19C0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4E2EA0AB" w14:textId="77777777" w:rsidR="00D50577" w:rsidRPr="003302F2" w:rsidRDefault="00D50577" w:rsidP="00AC19C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D50577" w:rsidRPr="004B20A4" w14:paraId="3F4BB519" w14:textId="77777777" w:rsidTr="00AC19C0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5E671252" w14:textId="77777777" w:rsidR="00D50577" w:rsidRPr="005D2DDD" w:rsidRDefault="00D50577" w:rsidP="00AC19C0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36B81F" w14:textId="77777777" w:rsidR="00D50577" w:rsidRPr="00BC10EA" w:rsidRDefault="00D50577" w:rsidP="00AC19C0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390E" w14:textId="77777777" w:rsidR="00D50577" w:rsidRPr="004B20A4" w:rsidRDefault="00D50577" w:rsidP="00AC19C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3A5FA" w14:textId="77777777" w:rsidR="00D50577" w:rsidRPr="004B20A4" w:rsidRDefault="00D50577" w:rsidP="00AC19C0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4B20A4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4423" w14:textId="77777777" w:rsidR="00D50577" w:rsidRPr="004B20A4" w:rsidRDefault="00D50577" w:rsidP="00AC19C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699DCD" w14:textId="77777777" w:rsidR="00D50577" w:rsidRPr="004B20A4" w:rsidRDefault="00D50577" w:rsidP="00AC19C0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4B20A4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85F5" w14:textId="77777777" w:rsidR="00D50577" w:rsidRPr="004B20A4" w:rsidRDefault="00D50577" w:rsidP="00AC19C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3AF998" w14:textId="77777777" w:rsidR="00D50577" w:rsidRPr="004B20A4" w:rsidRDefault="00D50577" w:rsidP="00AC19C0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4B20A4">
              <w:rPr>
                <w:sz w:val="20"/>
                <w:szCs w:val="20"/>
              </w:rPr>
              <w:t>Others (Program)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2426" w14:textId="77777777" w:rsidR="00D50577" w:rsidRPr="004B20A4" w:rsidRDefault="00D50577" w:rsidP="00AC19C0">
            <w:pPr>
              <w:bidi/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4B20A4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2576CF" w14:textId="77777777" w:rsidR="00D50577" w:rsidRPr="004B20A4" w:rsidRDefault="00D50577" w:rsidP="00AC19C0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D50577" w:rsidRPr="004B20A4" w14:paraId="74FF2B60" w14:textId="77777777" w:rsidTr="00AC19C0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566F4803" w14:textId="77777777" w:rsidR="00D50577" w:rsidRPr="005D2DDD" w:rsidRDefault="00D50577" w:rsidP="00AC19C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A8352" w14:textId="77777777" w:rsidR="00D50577" w:rsidRPr="004B20A4" w:rsidRDefault="00D50577" w:rsidP="00AC19C0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B20A4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74E" w14:textId="77777777" w:rsidR="00D50577" w:rsidRPr="004B20A4" w:rsidRDefault="00D50577" w:rsidP="00AC19C0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4B20A4">
              <w:rPr>
                <w:rFonts w:asciiTheme="majorBidi" w:hAnsiTheme="majorBidi" w:cstheme="majorBidi"/>
                <w:b/>
                <w:bCs/>
              </w:rPr>
              <w:t>√</w:t>
            </w: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7CC0" w14:textId="77777777" w:rsidR="00D50577" w:rsidRPr="004B20A4" w:rsidRDefault="00D50577" w:rsidP="00AC19C0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B20A4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9B2F" w14:textId="77777777" w:rsidR="00D50577" w:rsidRPr="004B20A4" w:rsidRDefault="00D50577" w:rsidP="00AC19C0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B6B0DDA" w14:textId="77777777" w:rsidR="00D50577" w:rsidRPr="004B20A4" w:rsidRDefault="00D50577" w:rsidP="00AC19C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D50577" w:rsidRPr="003302F2" w14:paraId="5FD4573B" w14:textId="77777777" w:rsidTr="00AC19C0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C2FF124" w14:textId="77777777" w:rsidR="00D50577" w:rsidRPr="003302F2" w:rsidRDefault="00D50577" w:rsidP="00AC19C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299202E2">
              <w:rPr>
                <w:b/>
                <w:bCs/>
              </w:rPr>
              <w:t xml:space="preserve">3.  Level/year at which this course is offered: </w:t>
            </w:r>
            <w:r w:rsidRPr="299202E2">
              <w:rPr>
                <w:rFonts w:asciiTheme="majorBidi" w:hAnsiTheme="majorBidi" w:cstheme="majorBidi"/>
                <w:lang w:bidi="ar-EG"/>
              </w:rPr>
              <w:t>Year 3 - Semester-2 (level 9)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5642E83D" w14:textId="77777777" w:rsidR="00D50577" w:rsidRPr="003302F2" w:rsidRDefault="00D50577" w:rsidP="00AC19C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D50577" w:rsidRPr="003302F2" w14:paraId="794FD36F" w14:textId="77777777" w:rsidTr="00AC19C0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702361ED" w14:textId="77777777" w:rsidR="00D50577" w:rsidRDefault="00D50577" w:rsidP="00AC19C0">
            <w:pPr>
              <w:rPr>
                <w:b/>
                <w:bCs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>
              <w:rPr>
                <w:b/>
                <w:bCs/>
              </w:rPr>
              <w:t xml:space="preserve">  </w:t>
            </w:r>
          </w:p>
          <w:p w14:paraId="1870A5BB" w14:textId="77777777" w:rsidR="00D50577" w:rsidRPr="00817B7B" w:rsidRDefault="00D50577" w:rsidP="00AC19C0">
            <w:pPr>
              <w:rPr>
                <w:b/>
                <w:bCs/>
                <w:sz w:val="8"/>
                <w:szCs w:val="8"/>
              </w:rPr>
            </w:pPr>
          </w:p>
          <w:p w14:paraId="3492A850" w14:textId="77777777" w:rsidR="00D50577" w:rsidRPr="003302F2" w:rsidRDefault="00D50577" w:rsidP="00AC19C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B20A4">
              <w:rPr>
                <w:rFonts w:asciiTheme="majorBidi" w:hAnsiTheme="majorBidi" w:cstheme="majorBidi"/>
                <w:lang w:bidi="ar-EG"/>
              </w:rPr>
              <w:t>Phase 1 blocks are prerequisites for Phase 2</w:t>
            </w:r>
          </w:p>
        </w:tc>
      </w:tr>
      <w:tr w:rsidR="00D50577" w:rsidRPr="003302F2" w14:paraId="2EACFEF6" w14:textId="77777777" w:rsidTr="00AC19C0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066F4961" w14:textId="77777777" w:rsidR="00D50577" w:rsidRDefault="00D50577" w:rsidP="00AC19C0">
            <w:pPr>
              <w:rPr>
                <w:b/>
                <w:bCs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  <w:p w14:paraId="765ED20C" w14:textId="77777777" w:rsidR="00D50577" w:rsidRPr="003302F2" w:rsidRDefault="00D50577" w:rsidP="00AC19C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4B20A4">
              <w:t>None</w:t>
            </w:r>
          </w:p>
        </w:tc>
      </w:tr>
      <w:tr w:rsidR="00D50577" w:rsidRPr="00817B7B" w14:paraId="3A2F4861" w14:textId="77777777" w:rsidTr="00AC19C0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3DBDECB9" w14:textId="77777777" w:rsidR="00D50577" w:rsidRPr="00817B7B" w:rsidRDefault="00D50577" w:rsidP="00AC19C0">
            <w:pPr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</w:p>
        </w:tc>
      </w:tr>
      <w:bookmarkEnd w:id="0"/>
    </w:tbl>
    <w:p w14:paraId="076B7CA9" w14:textId="77777777" w:rsidR="00D50577" w:rsidRPr="00D50577" w:rsidRDefault="00D50577" w:rsidP="00D50577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CF6163" w:rsidRPr="005D2DDD" w14:paraId="159FEC0E" w14:textId="77777777" w:rsidTr="00E9182F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CF6163" w:rsidRPr="005D2DDD" w:rsidRDefault="00CF6163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F60A507" w14:textId="0070ADEF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E0F83">
              <w:rPr>
                <w:color w:val="0070C0"/>
                <w:highlight w:val="yellow"/>
                <w:cs/>
              </w:rPr>
              <w:t>‎</w:t>
            </w:r>
            <w:r>
              <w:rPr>
                <w:b/>
                <w:bCs/>
              </w:rPr>
              <w:t>69</w:t>
            </w:r>
            <w:r w:rsidRPr="005E0F83">
              <w:rPr>
                <w:color w:val="0070C0"/>
                <w:highlight w:val="yellow"/>
                <w:cs/>
              </w:rPr>
              <w:t>‎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9A7CE3D" w14:textId="7DCD4C23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49.64</w:t>
            </w:r>
            <w:r w:rsidRPr="00E071FD">
              <w:rPr>
                <w:rFonts w:asciiTheme="majorBidi" w:hAnsiTheme="majorBidi" w:cstheme="majorBidi"/>
                <w:b/>
                <w:bCs/>
              </w:rPr>
              <w:t xml:space="preserve"> %</w:t>
            </w:r>
          </w:p>
        </w:tc>
      </w:tr>
      <w:tr w:rsidR="00CF6163" w:rsidRPr="005D2DDD" w14:paraId="223D1DF9" w14:textId="77777777" w:rsidTr="00E9182F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F6163" w:rsidRPr="005D2DDD" w:rsidRDefault="00CF6163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E9CF0AF" w14:textId="77777777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CA7025" w14:textId="77777777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F6163" w:rsidRPr="005D2DDD" w14:paraId="78CFD9CE" w14:textId="77777777" w:rsidTr="00E9182F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F6163" w:rsidRPr="00DD0890" w:rsidRDefault="00CF6163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2EB3D88" w14:textId="77777777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5A43D49" w14:textId="77777777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F6163" w:rsidRPr="005D2DDD" w14:paraId="44350248" w14:textId="77777777" w:rsidTr="00E9182F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F6163" w:rsidRPr="00DD0890" w:rsidRDefault="00CF6163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8CE720" w14:textId="77777777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08B89DF" w14:textId="77777777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F6163" w:rsidRPr="005D2DDD" w14:paraId="7185C646" w14:textId="77777777" w:rsidTr="00E9182F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F6163" w:rsidRPr="005D2DDD" w:rsidRDefault="00CF6163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47B1861" w14:textId="47EEE243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431EB6">
              <w:rPr>
                <w:color w:val="0070C0"/>
                <w:cs/>
              </w:rPr>
              <w:t>‎</w:t>
            </w:r>
            <w:r>
              <w:rPr>
                <w:b/>
                <w:bCs/>
              </w:rPr>
              <w:t>70</w:t>
            </w:r>
            <w:r w:rsidRPr="00431EB6">
              <w:rPr>
                <w:color w:val="0070C0"/>
                <w:cs/>
              </w:rPr>
              <w:t>‎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1631768" w14:textId="326AF9FC" w:rsidR="00CF6163" w:rsidRPr="005D2DDD" w:rsidRDefault="00CF6163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</w:rPr>
              <w:t>50.36</w:t>
            </w:r>
            <w:r w:rsidRPr="00431EB6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</w:tbl>
    <w:p w14:paraId="2A78B14F" w14:textId="7336EB8D" w:rsidR="00CC4A74" w:rsidRDefault="00CC4A74" w:rsidP="00CC4A74"/>
    <w:p w14:paraId="7AF5A8B9" w14:textId="77777777" w:rsidR="00CF6163" w:rsidRDefault="008A682F" w:rsidP="008B5913">
      <w:pPr>
        <w:rPr>
          <w:rFonts w:asciiTheme="majorBidi" w:hAnsiTheme="majorBidi" w:cstheme="majorBidi"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CF6163" w:rsidRPr="0019322E" w14:paraId="38DD5758" w14:textId="77777777" w:rsidTr="00AC19C0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D56B69F" w14:textId="77777777" w:rsidR="00CF6163" w:rsidRPr="0019322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2A8BD84" w14:textId="77777777" w:rsidR="00CF6163" w:rsidRPr="0019322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E7B3CEE" w14:textId="77777777" w:rsidR="00CF6163" w:rsidRPr="0019322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CF6163" w:rsidRPr="001A629E" w14:paraId="6F80ED3E" w14:textId="77777777" w:rsidTr="00AC19C0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1E6C9F7E" w14:textId="77777777" w:rsidR="00CF6163" w:rsidRPr="000274EF" w:rsidRDefault="00CF6163" w:rsidP="00AC19C0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482F540E" w14:textId="77777777" w:rsidR="00CF6163" w:rsidRPr="000274EF" w:rsidRDefault="00CF6163" w:rsidP="00AC19C0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5AB8682A" w14:textId="77777777" w:rsidR="00CF6163" w:rsidRPr="001A629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 w:rsidRPr="001A629E">
              <w:rPr>
                <w:rFonts w:asciiTheme="majorBidi" w:hAnsiTheme="majorBidi" w:cstheme="majorBidi"/>
                <w:b/>
                <w:bCs/>
                <w:lang w:bidi="ar-EG"/>
              </w:rPr>
              <w:t>51</w:t>
            </w:r>
          </w:p>
        </w:tc>
      </w:tr>
      <w:tr w:rsidR="00CF6163" w:rsidRPr="001A629E" w14:paraId="1CDC9DD9" w14:textId="77777777" w:rsidTr="00AC19C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01A697F" w14:textId="77777777" w:rsidR="00CF6163" w:rsidRPr="000274EF" w:rsidRDefault="00CF6163" w:rsidP="00AC19C0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4DFE49" w14:textId="77777777" w:rsidR="00CF6163" w:rsidRPr="000274EF" w:rsidRDefault="00CF6163" w:rsidP="00AC19C0">
            <w:pPr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Laboratory/DR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21057E" w14:textId="77777777" w:rsidR="00CF6163" w:rsidRPr="001A629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40</w:t>
            </w:r>
          </w:p>
        </w:tc>
      </w:tr>
      <w:tr w:rsidR="00CF6163" w:rsidRPr="001A629E" w14:paraId="7B97C4BD" w14:textId="77777777" w:rsidTr="00AC19C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6A056F6" w14:textId="77777777" w:rsidR="00CF6163" w:rsidRPr="000274EF" w:rsidRDefault="00CF6163" w:rsidP="00AC19C0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34FFFF" w14:textId="77777777" w:rsidR="00CF6163" w:rsidRPr="000274EF" w:rsidRDefault="00CF6163" w:rsidP="00AC19C0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C4DB14D" w14:textId="77777777" w:rsidR="00CF6163" w:rsidRPr="001A629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2</w:t>
            </w:r>
          </w:p>
        </w:tc>
      </w:tr>
      <w:tr w:rsidR="00CF6163" w:rsidRPr="001A629E" w14:paraId="6601DAC1" w14:textId="77777777" w:rsidTr="00AC19C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8638AEA" w14:textId="77777777" w:rsidR="00CF6163" w:rsidRPr="000274EF" w:rsidRDefault="00CF6163" w:rsidP="00AC19C0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4D70C" w14:textId="77777777" w:rsidR="00CF6163" w:rsidRPr="000274EF" w:rsidRDefault="00CF6163" w:rsidP="00AC19C0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94ACF5D" w14:textId="77777777" w:rsidR="00CF6163" w:rsidRPr="001A629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F6163" w:rsidRPr="001A629E" w14:paraId="649E8A68" w14:textId="77777777" w:rsidTr="00AC19C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0321240" w14:textId="77777777" w:rsidR="00CF6163" w:rsidRPr="005D2DDD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F30FEB" w14:textId="77777777" w:rsidR="00CF6163" w:rsidRPr="00F0374A" w:rsidRDefault="00CF6163" w:rsidP="00AC19C0">
            <w:pPr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lang w:bidi="ar-EG"/>
              </w:rPr>
            </w:pPr>
            <w:r w:rsidRPr="008B1A7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BPL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6B68F26" w14:textId="77777777" w:rsidR="00CF6163" w:rsidRPr="001A629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A629E">
              <w:rPr>
                <w:rFonts w:asciiTheme="majorBidi" w:hAnsiTheme="majorBidi" w:cstheme="majorBidi"/>
                <w:b/>
                <w:bCs/>
                <w:lang w:bidi="ar-EG"/>
              </w:rPr>
              <w:t>12</w:t>
            </w:r>
          </w:p>
        </w:tc>
      </w:tr>
      <w:tr w:rsidR="00CF6163" w:rsidRPr="001A629E" w14:paraId="3A722B56" w14:textId="77777777" w:rsidTr="00AC19C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1309D4F" w14:textId="77777777" w:rsidR="00CF6163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0FBE43" w14:textId="77777777" w:rsidR="00CF6163" w:rsidRPr="00F0374A" w:rsidRDefault="00CF6163" w:rsidP="00AC19C0">
            <w:pPr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lang w:bidi="ar-EG"/>
              </w:rPr>
            </w:pPr>
            <w:r w:rsidRPr="008B1A7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TBL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402CCA8" w14:textId="77777777" w:rsidR="00CF6163" w:rsidRPr="001A629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629E">
              <w:rPr>
                <w:rFonts w:asciiTheme="majorBidi" w:hAnsiTheme="majorBidi" w:cstheme="majorBidi"/>
                <w:b/>
                <w:bCs/>
                <w:lang w:bidi="ar-EG"/>
              </w:rPr>
              <w:t>4</w:t>
            </w:r>
          </w:p>
        </w:tc>
      </w:tr>
      <w:tr w:rsidR="00CF6163" w:rsidRPr="00F50D9A" w14:paraId="63E99073" w14:textId="77777777" w:rsidTr="00AC19C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8F56812" w14:textId="77777777" w:rsidR="00CF6163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A64E9D" w14:textId="77777777" w:rsidR="00CF6163" w:rsidRPr="00F0374A" w:rsidRDefault="00CF6163" w:rsidP="00AC19C0">
            <w:pPr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lang w:bidi="ar-EG"/>
              </w:rPr>
            </w:pPr>
            <w:r w:rsidRPr="008B1A7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SKILLS LAB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288DE" w14:textId="77777777" w:rsidR="00CF6163" w:rsidRPr="00F50D9A" w:rsidRDefault="00CF6163" w:rsidP="00AC19C0">
            <w:pPr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4912C1">
              <w:rPr>
                <w:rFonts w:asciiTheme="majorBidi" w:hAnsiTheme="majorBidi" w:cstheme="majorBidi"/>
                <w:lang w:bidi="ar-EG"/>
              </w:rPr>
              <w:t>12</w:t>
            </w:r>
          </w:p>
        </w:tc>
      </w:tr>
      <w:tr w:rsidR="00CF6163" w:rsidRPr="00F50D9A" w14:paraId="5EC749D3" w14:textId="77777777" w:rsidTr="00AC19C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125789E3" w14:textId="77777777" w:rsidR="00CF6163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51717A" w14:textId="77777777" w:rsidR="00CF6163" w:rsidRDefault="00CF6163" w:rsidP="00AC19C0">
            <w:pPr>
              <w:rPr>
                <w:rFonts w:asciiTheme="majorBidi" w:hAnsiTheme="majorBidi" w:cstheme="majorBidi"/>
                <w:b/>
                <w:bCs/>
                <w:color w:val="FF0000"/>
                <w:sz w:val="22"/>
                <w:szCs w:val="22"/>
                <w:lang w:bidi="ar-EG"/>
              </w:rPr>
            </w:pPr>
            <w:r w:rsidRPr="008B1A7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BEDSIDE TEACHING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67B2F03" w14:textId="77777777" w:rsidR="00CF6163" w:rsidRPr="00F50D9A" w:rsidRDefault="00CF6163" w:rsidP="00AC19C0">
            <w:pPr>
              <w:jc w:val="center"/>
              <w:rPr>
                <w:rFonts w:asciiTheme="majorBidi" w:hAnsiTheme="majorBidi" w:cstheme="majorBidi"/>
                <w:color w:val="FF0000"/>
                <w:lang w:bidi="ar-EG"/>
              </w:rPr>
            </w:pPr>
            <w:r w:rsidRPr="00CB5140">
              <w:rPr>
                <w:rFonts w:asciiTheme="majorBidi" w:hAnsiTheme="majorBidi" w:cstheme="majorBidi"/>
                <w:lang w:bidi="ar-EG"/>
              </w:rPr>
              <w:t>18</w:t>
            </w:r>
          </w:p>
        </w:tc>
      </w:tr>
      <w:tr w:rsidR="00CF6163" w:rsidRPr="001A629E" w14:paraId="5A1A3426" w14:textId="77777777" w:rsidTr="00AC19C0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E680549" w14:textId="77777777" w:rsidR="00CF6163" w:rsidRPr="000274EF" w:rsidRDefault="00CF6163" w:rsidP="00AC19C0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179F8F00" w14:textId="77777777" w:rsidR="00CF6163" w:rsidRPr="000274EF" w:rsidRDefault="00CF6163" w:rsidP="00AC19C0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F3D9F6E" w14:textId="77777777" w:rsidR="00CF6163" w:rsidRPr="001A629E" w:rsidRDefault="00CF6163" w:rsidP="00AC19C0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highlight w:val="yellow"/>
                <w:rtl/>
                <w:lang w:bidi="ar-EG"/>
              </w:rPr>
            </w:pPr>
            <w:r w:rsidRPr="001A629E">
              <w:rPr>
                <w:rFonts w:asciiTheme="majorBidi" w:hAnsiTheme="majorBidi" w:cstheme="majorBidi"/>
                <w:b/>
                <w:bCs/>
                <w:lang w:bidi="ar-EG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39</w:t>
            </w:r>
          </w:p>
        </w:tc>
      </w:tr>
    </w:tbl>
    <w:p w14:paraId="1C3AE0AA" w14:textId="642F0592" w:rsidR="00756B55" w:rsidRDefault="00756B55" w:rsidP="008B5913">
      <w:pPr>
        <w:rPr>
          <w:rFonts w:asciiTheme="majorBidi" w:hAnsiTheme="majorBidi" w:cstheme="majorBidi"/>
          <w:sz w:val="26"/>
          <w:szCs w:val="26"/>
          <w:lang w:bidi="ar-EG"/>
        </w:rPr>
      </w:pPr>
    </w:p>
    <w:p w14:paraId="5776C6D6" w14:textId="77777777" w:rsidR="00CF6163" w:rsidRDefault="00CF6163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</w:p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0E60E8E9" w:rsidR="00636783" w:rsidRPr="00382343" w:rsidRDefault="007952E6" w:rsidP="00246F9C">
      <w:pPr>
        <w:pStyle w:val="Heading1"/>
      </w:pPr>
      <w:bookmarkStart w:id="2" w:name="_Toc523814307"/>
      <w:bookmarkStart w:id="3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bookmarkEnd w:id="2"/>
      <w:bookmarkEnd w:id="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F393631" w14:textId="77777777" w:rsidR="00614E52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4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4"/>
          </w:p>
          <w:p w14:paraId="2BEFE1BC" w14:textId="3B98F79B" w:rsidR="004E406B" w:rsidRPr="00F17EC3" w:rsidRDefault="00614E52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r w:rsidRPr="00905BEF">
              <w:t>This course is delivered to the med</w:t>
            </w:r>
            <w:r>
              <w:t>ical students at the level 6/3rd</w:t>
            </w:r>
            <w:r w:rsidRPr="00905BEF">
              <w:t xml:space="preserve"> year. It has been designed to achieve horizontal and vertical integration of </w:t>
            </w:r>
            <w:r>
              <w:t xml:space="preserve">gastrointestinal </w:t>
            </w:r>
            <w:r w:rsidRPr="00905BEF">
              <w:t xml:space="preserve">system structure, functions, its common relevant disorders, and their diagnosis and management. The students are expected to develop a problem-solving approach to the relevant </w:t>
            </w:r>
            <w:r>
              <w:t>gastrointestinal</w:t>
            </w:r>
            <w:r w:rsidRPr="00905BEF">
              <w:t xml:space="preserve"> system disorders, their diagnoses, and non- pharmacological and pharmacological management</w:t>
            </w:r>
            <w:r w:rsidR="00AA1554"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44D2A302" w14:textId="5ED8D5A7" w:rsidR="00AA1554" w:rsidRPr="00743E1A" w:rsidRDefault="00AA1554" w:rsidP="008B5913">
            <w:pPr>
              <w:rPr>
                <w:sz w:val="20"/>
                <w:szCs w:val="20"/>
              </w:rPr>
            </w:pP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4760704" w14:textId="77777777" w:rsidR="00AA1554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lastRenderedPageBreak/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5"/>
          </w:p>
          <w:p w14:paraId="0EF7E4D2" w14:textId="77777777" w:rsidR="00614E52" w:rsidRPr="00905BEF" w:rsidRDefault="00614E52" w:rsidP="00614E52">
            <w:pPr>
              <w:rPr>
                <w:b/>
                <w:bCs/>
              </w:rPr>
            </w:pPr>
            <w:r w:rsidRPr="00905BEF">
              <w:rPr>
                <w:b/>
                <w:bCs/>
              </w:rPr>
              <w:t>By the end of this course, the students are expected to:</w:t>
            </w:r>
          </w:p>
          <w:p w14:paraId="571200E3" w14:textId="77777777" w:rsidR="00614E52" w:rsidRPr="00905BEF" w:rsidRDefault="00614E52" w:rsidP="00614E52">
            <w:r w:rsidRPr="00905BEF">
              <w:t>1)</w:t>
            </w:r>
            <w:r w:rsidRPr="00905BEF">
              <w:tab/>
            </w:r>
            <w:r w:rsidRPr="00905BEF">
              <w:rPr>
                <w:b/>
                <w:bCs/>
              </w:rPr>
              <w:t>Relate</w:t>
            </w:r>
            <w:r w:rsidRPr="00905BEF">
              <w:t xml:space="preserve"> the structure to functions of the </w:t>
            </w:r>
            <w:r>
              <w:t>gastrointestinal system</w:t>
            </w:r>
            <w:r w:rsidRPr="00905BEF">
              <w:t>.</w:t>
            </w:r>
          </w:p>
          <w:p w14:paraId="68B8F1EF" w14:textId="77777777" w:rsidR="00614E52" w:rsidRPr="00905BEF" w:rsidRDefault="00614E52" w:rsidP="00614E52">
            <w:r w:rsidRPr="00905BEF">
              <w:t>2)</w:t>
            </w:r>
            <w:r w:rsidRPr="00905BEF">
              <w:tab/>
            </w:r>
            <w:r w:rsidRPr="00905BEF">
              <w:rPr>
                <w:b/>
                <w:bCs/>
              </w:rPr>
              <w:t>Interpret</w:t>
            </w:r>
            <w:r w:rsidRPr="00905BEF">
              <w:t xml:space="preserve"> the symptoms and signs of most common diseases, injuries and disturbances.</w:t>
            </w:r>
          </w:p>
          <w:p w14:paraId="1A264621" w14:textId="77777777" w:rsidR="00614E52" w:rsidRPr="00905BEF" w:rsidRDefault="00614E52" w:rsidP="00614E52">
            <w:r w:rsidRPr="00905BEF">
              <w:t>3)</w:t>
            </w:r>
            <w:r w:rsidRPr="00905BEF">
              <w:tab/>
            </w:r>
            <w:r w:rsidRPr="00905BEF">
              <w:rPr>
                <w:b/>
                <w:bCs/>
              </w:rPr>
              <w:t>Discuss</w:t>
            </w:r>
            <w:r w:rsidRPr="00905BEF">
              <w:t xml:space="preserve"> the pathogenesis of various </w:t>
            </w:r>
            <w:r>
              <w:t>gastrointestinal</w:t>
            </w:r>
            <w:r w:rsidRPr="00905BEF">
              <w:t xml:space="preserve"> system diseases presentation, investigations (laboratory, radiological, etc.), and management.   </w:t>
            </w:r>
          </w:p>
          <w:p w14:paraId="495D0D78" w14:textId="77777777" w:rsidR="00614E52" w:rsidRPr="00905BEF" w:rsidRDefault="00614E52" w:rsidP="00614E52">
            <w:r w:rsidRPr="00905BEF">
              <w:t xml:space="preserve">4)         </w:t>
            </w:r>
            <w:r w:rsidRPr="00905BEF">
              <w:rPr>
                <w:b/>
                <w:bCs/>
              </w:rPr>
              <w:t>Apply</w:t>
            </w:r>
            <w:r w:rsidRPr="00905BEF">
              <w:t xml:space="preserve"> a problem-solving approach to </w:t>
            </w:r>
            <w:r>
              <w:t>the common gastrointestinal</w:t>
            </w:r>
            <w:r w:rsidRPr="00905BEF">
              <w:t xml:space="preserve"> system disorders. </w:t>
            </w:r>
          </w:p>
          <w:p w14:paraId="690FDDE2" w14:textId="11DA9840" w:rsidR="00614E52" w:rsidRPr="00614E52" w:rsidRDefault="00614E52" w:rsidP="00614E52">
            <w:r w:rsidRPr="00905BEF">
              <w:t xml:space="preserve">5)         </w:t>
            </w:r>
            <w:r w:rsidRPr="00905BEF">
              <w:rPr>
                <w:b/>
                <w:bCs/>
              </w:rPr>
              <w:t>Examine</w:t>
            </w:r>
            <w:r w:rsidRPr="00905BEF">
              <w:t xml:space="preserve"> clinically patients with </w:t>
            </w:r>
            <w:r>
              <w:t>gastrointestinal</w:t>
            </w:r>
            <w:r w:rsidRPr="00905BEF">
              <w:t xml:space="preserve"> system disorders.</w:t>
            </w:r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77777777" w:rsidR="005922AF" w:rsidRDefault="005922AF" w:rsidP="008B5913"/>
          <w:p w14:paraId="02162209" w14:textId="7CA4C37A" w:rsidR="005922AF" w:rsidRDefault="005922AF" w:rsidP="008B5913"/>
        </w:tc>
      </w:tr>
    </w:tbl>
    <w:p w14:paraId="31910F2A" w14:textId="55AF197F" w:rsidR="00465FB7" w:rsidRPr="00465FB7" w:rsidRDefault="00465FB7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6C1E62C9" w14:textId="77777777" w:rsidR="00614E52" w:rsidRDefault="00D57D71" w:rsidP="009E4A94">
      <w:pPr>
        <w:pStyle w:val="Heading1"/>
        <w:numPr>
          <w:ilvl w:val="0"/>
          <w:numId w:val="1"/>
        </w:numPr>
      </w:pPr>
      <w:bookmarkStart w:id="6" w:name="_Toc951378"/>
      <w:r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</w:t>
      </w:r>
      <w:r w:rsidR="00614E52">
        <w:t>nt</w:t>
      </w:r>
    </w:p>
    <w:tbl>
      <w:tblPr>
        <w:tblW w:w="1044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8280"/>
        <w:gridCol w:w="1260"/>
      </w:tblGrid>
      <w:tr w:rsidR="00614E52" w:rsidRPr="00BB764C" w14:paraId="4E70A74B" w14:textId="77777777" w:rsidTr="00AC19C0">
        <w:trPr>
          <w:cantSplit/>
          <w:trHeight w:val="227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4C098B3" w14:textId="77777777" w:rsidR="00614E52" w:rsidRPr="00BB764C" w:rsidRDefault="00614E52" w:rsidP="00AC19C0">
            <w:pPr>
              <w:bidi/>
              <w:jc w:val="center"/>
              <w:rPr>
                <w:lang w:bidi="ar-EG"/>
              </w:rPr>
            </w:pPr>
          </w:p>
        </w:tc>
        <w:tc>
          <w:tcPr>
            <w:tcW w:w="8280" w:type="dxa"/>
            <w:tcBorders>
              <w:right w:val="single" w:sz="4" w:space="0" w:color="auto"/>
            </w:tcBorders>
            <w:shd w:val="clear" w:color="auto" w:fill="auto"/>
          </w:tcPr>
          <w:p w14:paraId="4BAF0995" w14:textId="77777777" w:rsidR="00614E52" w:rsidRPr="00BB764C" w:rsidRDefault="00614E52" w:rsidP="00AC19C0">
            <w:pPr>
              <w:jc w:val="center"/>
              <w:rPr>
                <w:b/>
                <w:bCs/>
                <w:sz w:val="18"/>
                <w:szCs w:val="18"/>
                <w:lang w:bidi="ar-EG"/>
              </w:rPr>
            </w:pPr>
          </w:p>
          <w:p w14:paraId="150F6AF4" w14:textId="77777777" w:rsidR="00614E52" w:rsidRPr="00BB764C" w:rsidRDefault="00614E52" w:rsidP="00AC19C0">
            <w:pPr>
              <w:jc w:val="center"/>
              <w:rPr>
                <w:b/>
                <w:bCs/>
                <w:lang w:bidi="ar-EG"/>
              </w:rPr>
            </w:pPr>
            <w:r w:rsidRPr="00BB764C">
              <w:rPr>
                <w:b/>
                <w:bCs/>
                <w:lang w:bidi="ar-EG"/>
              </w:rPr>
              <w:t>List of Topics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0B86D39B" w14:textId="77777777" w:rsidR="00614E52" w:rsidRPr="00BB764C" w:rsidRDefault="00614E52" w:rsidP="00AC19C0">
            <w:pPr>
              <w:jc w:val="center"/>
              <w:rPr>
                <w:b/>
                <w:bCs/>
                <w:lang w:bidi="ar-EG"/>
              </w:rPr>
            </w:pPr>
            <w:r w:rsidRPr="00BB764C">
              <w:rPr>
                <w:b/>
                <w:bCs/>
                <w:lang w:bidi="ar-EG"/>
              </w:rPr>
              <w:t>Contact Hours</w:t>
            </w:r>
          </w:p>
        </w:tc>
      </w:tr>
      <w:tr w:rsidR="00614E52" w:rsidRPr="00BB764C" w14:paraId="30EA71F0" w14:textId="77777777" w:rsidTr="00AC19C0">
        <w:trPr>
          <w:cantSplit/>
          <w:trHeight w:val="20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52CEB4BF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tcBorders>
              <w:right w:val="single" w:sz="4" w:space="0" w:color="auto"/>
            </w:tcBorders>
            <w:shd w:val="clear" w:color="auto" w:fill="auto"/>
          </w:tcPr>
          <w:p w14:paraId="5EF8EEAF" w14:textId="77777777" w:rsidR="00614E52" w:rsidRPr="00BB764C" w:rsidRDefault="00614E52" w:rsidP="00AC19C0">
            <w:pPr>
              <w:rPr>
                <w:lang w:val="en-AU"/>
              </w:rPr>
            </w:pPr>
            <w:r w:rsidRPr="00BB764C">
              <w:rPr>
                <w:lang w:val="en-AU"/>
              </w:rPr>
              <w:t xml:space="preserve">Introduction to the </w:t>
            </w:r>
            <w:r w:rsidRPr="00BB764C">
              <w:rPr>
                <w:rFonts w:cs="Calibri"/>
              </w:rPr>
              <w:t xml:space="preserve">Block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auto"/>
          </w:tcPr>
          <w:p w14:paraId="0EE98D9D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</w:p>
        </w:tc>
      </w:tr>
      <w:tr w:rsidR="00614E52" w:rsidRPr="00BB764C" w14:paraId="52E4A6E6" w14:textId="77777777" w:rsidTr="00AC19C0">
        <w:trPr>
          <w:cantSplit/>
          <w:trHeight w:val="20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D21DCFB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7274607" w14:textId="77777777" w:rsidR="00614E52" w:rsidRPr="00BB764C" w:rsidRDefault="00614E52" w:rsidP="00AC19C0">
            <w:pPr>
              <w:rPr>
                <w:lang w:val="en-AU"/>
              </w:rPr>
            </w:pPr>
            <w:r>
              <w:t xml:space="preserve">PBL </w:t>
            </w:r>
            <w:r w:rsidRPr="00BB764C">
              <w:t xml:space="preserve">1  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8B640E8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08E0180F" w14:textId="77777777" w:rsidTr="00AC19C0">
        <w:trPr>
          <w:cantSplit/>
          <w:trHeight w:val="20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8E39C40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3EEDFCCC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Ant. &amp; Post. Abdominal Walls - (</w:t>
            </w:r>
            <w:proofErr w:type="spellStart"/>
            <w:r w:rsidRPr="00BB764C">
              <w:rPr>
                <w:rFonts w:cs="Calibri"/>
              </w:rPr>
              <w:t>Anat</w:t>
            </w:r>
            <w:proofErr w:type="spellEnd"/>
            <w:r w:rsidRPr="00BB764C"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B07E4C4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01BA0D00" w14:textId="77777777" w:rsidTr="00AC19C0">
        <w:trPr>
          <w:cantSplit/>
          <w:trHeight w:val="20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807BDA9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7C03B76F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Anatomy of the Peritoneum </w:t>
            </w:r>
            <w:r>
              <w:rPr>
                <w:rFonts w:cs="Calibri"/>
              </w:rPr>
              <w:t>DR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5A1229F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14E52" w:rsidRPr="00BB764C" w14:paraId="73328449" w14:textId="77777777" w:rsidTr="00AC19C0">
        <w:trPr>
          <w:cantSplit/>
          <w:trHeight w:val="20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5991674E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3A34FEEB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Ant. &amp; Post. Abdominal Walls – (Anat.) (DR)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E245736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6009A3C2" w14:textId="77777777" w:rsidTr="00AC19C0">
        <w:trPr>
          <w:cantSplit/>
          <w:trHeight w:val="20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409E445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3A871FBB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oral cavity and salivary glands –(</w:t>
            </w:r>
            <w:proofErr w:type="spellStart"/>
            <w:r w:rsidRPr="00BB764C">
              <w:rPr>
                <w:rFonts w:cs="Calibri"/>
              </w:rPr>
              <w:t>Anat</w:t>
            </w:r>
            <w:proofErr w:type="spellEnd"/>
            <w:r w:rsidRPr="00BB764C"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CD91BB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6AF7BCD8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CDC269C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4C22668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Anatomy of the Pharynx &amp; </w:t>
            </w:r>
            <w:proofErr w:type="spellStart"/>
            <w:r w:rsidRPr="00BB764C">
              <w:rPr>
                <w:rFonts w:cs="Calibri"/>
              </w:rPr>
              <w:t>Oesophagus</w:t>
            </w:r>
            <w:proofErr w:type="spellEnd"/>
            <w:r w:rsidRPr="00BB764C">
              <w:rPr>
                <w:rFonts w:cs="Calibri"/>
              </w:rPr>
              <w:t xml:space="preserve"> and Stomach –(</w:t>
            </w:r>
            <w:proofErr w:type="spellStart"/>
            <w:r w:rsidRPr="00BB764C">
              <w:rPr>
                <w:rFonts w:cs="Calibri"/>
              </w:rPr>
              <w:t>Anat</w:t>
            </w:r>
            <w:proofErr w:type="spellEnd"/>
            <w:r w:rsidRPr="00BB764C"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74847D0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E29BA5F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D1492D8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952435B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oral cavity, salivary glands, pharynx, esophagus, &amp; Stomach (DR)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3EEE090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5CE9341F" w14:textId="77777777" w:rsidTr="00AC19C0">
        <w:trPr>
          <w:cantSplit/>
          <w:trHeight w:val="224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1DFA1FB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B56015C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Histology of oral cavity and salivary glands-L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D7F04D6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110B3846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98173CE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7644B146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Histology of oral cavity and salivary glands (LAB)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451CBFB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27D3F08A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67A91F8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73ECE4E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Histology of the Pharynx, </w:t>
            </w:r>
            <w:proofErr w:type="spellStart"/>
            <w:r w:rsidRPr="00BB764C">
              <w:rPr>
                <w:rFonts w:cs="Calibri"/>
              </w:rPr>
              <w:t>oesophagus</w:t>
            </w:r>
            <w:proofErr w:type="spellEnd"/>
            <w:r w:rsidRPr="00BB764C">
              <w:rPr>
                <w:rFonts w:cs="Calibri"/>
              </w:rPr>
              <w:t>, and stomach –(</w:t>
            </w:r>
            <w:proofErr w:type="spellStart"/>
            <w:r w:rsidRPr="00BB764C">
              <w:rPr>
                <w:rFonts w:cs="Calibri"/>
              </w:rPr>
              <w:t>Anat</w:t>
            </w:r>
            <w:proofErr w:type="spellEnd"/>
            <w:r w:rsidRPr="00BB764C"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F7D5FE1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410BFF0A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8BFA1A6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3AA903AB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Histology of the Pharynx, </w:t>
            </w:r>
            <w:proofErr w:type="spellStart"/>
            <w:r w:rsidRPr="00BB764C">
              <w:rPr>
                <w:rFonts w:cs="Calibri"/>
              </w:rPr>
              <w:t>Oesophagus</w:t>
            </w:r>
            <w:proofErr w:type="spellEnd"/>
            <w:r w:rsidRPr="00BB764C">
              <w:rPr>
                <w:rFonts w:cs="Calibri"/>
              </w:rPr>
              <w:t>, and stomach -(Hist.) (LAB)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0FE90F7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20C61A05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443FC07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3F284BDF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Function &amp; control of Salivary Glands (</w:t>
            </w:r>
            <w:proofErr w:type="spellStart"/>
            <w:r w:rsidRPr="00BB764C">
              <w:rPr>
                <w:rFonts w:cs="Calibri"/>
              </w:rPr>
              <w:t>Phys</w:t>
            </w:r>
            <w:proofErr w:type="spellEnd"/>
            <w:r w:rsidRPr="00BB764C">
              <w:rPr>
                <w:rFonts w:cs="Calibri"/>
              </w:rPr>
              <w:t>) -L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7F36DC0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18F8E44C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AE0FF4A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4AEB30A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Physiology of Mastication &amp; Deglutition (</w:t>
            </w:r>
            <w:proofErr w:type="spellStart"/>
            <w:r w:rsidRPr="00BB764C">
              <w:rPr>
                <w:rFonts w:cs="Calibri"/>
              </w:rPr>
              <w:t>Phys</w:t>
            </w:r>
            <w:proofErr w:type="spellEnd"/>
            <w:r w:rsidRPr="00BB764C">
              <w:rPr>
                <w:rFonts w:cs="Calibri"/>
              </w:rPr>
              <w:t>)-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D177BE5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44AC8C9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F5B04DD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01D6502E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liver, and Pancreas (</w:t>
            </w:r>
            <w:proofErr w:type="spellStart"/>
            <w:r w:rsidRPr="00BB764C">
              <w:rPr>
                <w:rFonts w:cs="Calibri"/>
              </w:rPr>
              <w:t>Anat</w:t>
            </w:r>
            <w:proofErr w:type="spellEnd"/>
            <w:r w:rsidRPr="00BB764C"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5CEA98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5D85CC02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4059399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54FC207C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Anatomy of the Small intestine, large intestine (Appendix, Rectum, Anal canal &amp; </w:t>
            </w:r>
            <w:proofErr w:type="spellStart"/>
            <w:r w:rsidRPr="00BB764C">
              <w:rPr>
                <w:rFonts w:cs="Calibri"/>
              </w:rPr>
              <w:t>ischioanal</w:t>
            </w:r>
            <w:proofErr w:type="spellEnd"/>
            <w:r w:rsidRPr="00BB764C">
              <w:rPr>
                <w:rFonts w:cs="Calibri"/>
              </w:rPr>
              <w:t xml:space="preserve"> fossa) (Anat.)-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7770EF5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1F3693F0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0F03DFE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4B872E3C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  <w:strike/>
              </w:rPr>
            </w:pPr>
            <w:r w:rsidRPr="00BB764C">
              <w:rPr>
                <w:rFonts w:cs="Calibri"/>
              </w:rPr>
              <w:t xml:space="preserve">Anatomy of the Small intestine, and Large intestine (Appendix, Rectum, Anal canal &amp; </w:t>
            </w:r>
            <w:proofErr w:type="spellStart"/>
            <w:r w:rsidRPr="00BB764C">
              <w:rPr>
                <w:rFonts w:cs="Calibri"/>
              </w:rPr>
              <w:t>ischioanal</w:t>
            </w:r>
            <w:proofErr w:type="spellEnd"/>
            <w:r w:rsidRPr="00BB764C">
              <w:rPr>
                <w:rFonts w:cs="Calibri"/>
              </w:rPr>
              <w:t xml:space="preserve"> fossa)-(Anat.) (DR)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C05A278" w14:textId="77777777" w:rsidR="00614E52" w:rsidRPr="00BB764C" w:rsidRDefault="00614E52" w:rsidP="00AC19C0">
            <w:pPr>
              <w:jc w:val="center"/>
              <w:rPr>
                <w:rFonts w:cs="Calibri"/>
                <w:strike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295A70E6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BD61676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2F287027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Liver and Pancreas- (Anat.)-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D63665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4DE516E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DA9F81B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4C9FE166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Liver, Spleen, and Pancreas- (Anat.) (DR)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C96EBBC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7338B339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4FE6C366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62E3031C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Histology of Liver, Pancreas - (Anat.)-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9FB27F5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203F3C80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1408E03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0494F01F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Histology of liver and Pancreas (</w:t>
            </w:r>
            <w:proofErr w:type="spellStart"/>
            <w:r w:rsidRPr="00BB764C">
              <w:rPr>
                <w:rFonts w:cs="Calibri"/>
              </w:rPr>
              <w:t>Histo</w:t>
            </w:r>
            <w:proofErr w:type="spellEnd"/>
            <w:r w:rsidRPr="00BB764C">
              <w:rPr>
                <w:rFonts w:cs="Calibri"/>
              </w:rPr>
              <w:t>.) (LAB)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0CC7F5F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42A8ACD2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500BDF0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788365F1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Blood supply and lymphatic of the GIT- (Anat.)-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3EAD2DF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70FB2845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5BFADF23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424F1C4E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Anatomy of the Blood supply and lymphatic of the GIT, (Anat.)  (DR)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FFDA6F6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251B34A0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E44D779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620B3943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Histology of small and large intestine- (Anat.)-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3A0A65D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1B198C34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FBE94C0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6D5D4D2F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Histology of small and large intestine (</w:t>
            </w:r>
            <w:proofErr w:type="spellStart"/>
            <w:r w:rsidRPr="00BB764C">
              <w:rPr>
                <w:rFonts w:cs="Calibri"/>
              </w:rPr>
              <w:t>Hist</w:t>
            </w:r>
            <w:proofErr w:type="spellEnd"/>
            <w:r w:rsidRPr="00BB764C">
              <w:rPr>
                <w:rFonts w:cs="Calibri"/>
              </w:rPr>
              <w:t>) (LAB)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F66F032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11B3DB2E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E2458CB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136F3C8A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  <w:highlight w:val="cyan"/>
              </w:rPr>
            </w:pPr>
            <w:r w:rsidRPr="00BB764C">
              <w:rPr>
                <w:rFonts w:cs="Calibri"/>
              </w:rPr>
              <w:t>Surface Anatomy of the GIT- (</w:t>
            </w:r>
            <w:proofErr w:type="spellStart"/>
            <w:r w:rsidRPr="00BB764C">
              <w:rPr>
                <w:rFonts w:cs="Calibri"/>
              </w:rPr>
              <w:t>Anat</w:t>
            </w:r>
            <w:proofErr w:type="spellEnd"/>
            <w:r w:rsidRPr="00BB764C"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D7236F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F8569BB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BEC3CB1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70E128FD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  <w:highlight w:val="cyan"/>
              </w:rPr>
            </w:pPr>
            <w:r w:rsidRPr="00BB764C">
              <w:rPr>
                <w:rFonts w:cs="Calibri"/>
              </w:rPr>
              <w:t>Dysphagia (Med.)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8EE782F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12FCF126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C360FC9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41087E97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Secretory &amp; Motor function of  the stomach –(</w:t>
            </w:r>
            <w:proofErr w:type="spellStart"/>
            <w:r w:rsidRPr="00BB764C">
              <w:rPr>
                <w:rFonts w:cs="Calibri"/>
              </w:rPr>
              <w:t>Phys</w:t>
            </w:r>
            <w:proofErr w:type="spellEnd"/>
            <w:r w:rsidRPr="00BB764C"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DED4855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13E3A40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CBBF37C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217883C3" w14:textId="77777777" w:rsidR="00614E52" w:rsidRPr="00BB764C" w:rsidRDefault="00614E52" w:rsidP="00AC19C0">
            <w:pPr>
              <w:rPr>
                <w:rFonts w:cs="Calibri"/>
              </w:rPr>
            </w:pPr>
            <w:r w:rsidRPr="00BB764C">
              <w:rPr>
                <w:rFonts w:cs="Calibri"/>
              </w:rPr>
              <w:t>Esophagus Pathology (Path.)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7638DA8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421A1415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B4D8962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289C502A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Peritoneal &amp; Stomach Pathology (Path.)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FBC33C0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7E6A8492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D814078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  <w:vAlign w:val="bottom"/>
          </w:tcPr>
          <w:p w14:paraId="62932970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>
              <w:rPr>
                <w:rFonts w:cs="Calibri"/>
              </w:rPr>
              <w:t xml:space="preserve">PBL 1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42A9929E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41FCA907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576CD8B0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05C1B753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Mucosal protective agents &amp; </w:t>
            </w:r>
            <w:proofErr w:type="spellStart"/>
            <w:r w:rsidRPr="00BB764C">
              <w:rPr>
                <w:rFonts w:cs="Calibri"/>
              </w:rPr>
              <w:t>Antisecretory</w:t>
            </w:r>
            <w:proofErr w:type="spellEnd"/>
            <w:r w:rsidRPr="00BB764C">
              <w:rPr>
                <w:rFonts w:cs="Calibri"/>
              </w:rPr>
              <w:t xml:space="preserve"> drugs (</w:t>
            </w:r>
            <w:proofErr w:type="spellStart"/>
            <w:r w:rsidRPr="00BB764C">
              <w:rPr>
                <w:rFonts w:cs="Calibri"/>
              </w:rPr>
              <w:t>Pharma</w:t>
            </w:r>
            <w:proofErr w:type="spellEnd"/>
            <w:r w:rsidRPr="00BB764C">
              <w:rPr>
                <w:rFonts w:cs="Calibri"/>
              </w:rPr>
              <w:t xml:space="preserve"> 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3A2A764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23DDF064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4ED5B92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70DEA456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Physiology of Vomiting - (</w:t>
            </w:r>
            <w:proofErr w:type="spellStart"/>
            <w:r w:rsidRPr="00BB764C">
              <w:rPr>
                <w:rFonts w:cs="Calibri"/>
              </w:rPr>
              <w:t>Phys</w:t>
            </w:r>
            <w:proofErr w:type="spellEnd"/>
            <w:r w:rsidRPr="00BB764C"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8536F34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0A855935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45BDF48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2391946A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Dyspepsia (Med.)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2F77662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71C60D8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8BC044C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1FFD9A5F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Small and Large intestines; motility &amp; secretion- (Phys.) -L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F180248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2B8E9CE8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6BC0C65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  <w:vAlign w:val="bottom"/>
          </w:tcPr>
          <w:p w14:paraId="073454F0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>
              <w:t xml:space="preserve">PBL-2  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7DAB3148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35EE7651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9262C9A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6889CBE3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Defecation – (Phys.)-L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95FA94C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B53AF3F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83DD3A0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16EC5E92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Digestion &amp; absorption of proteins &amp; carbohydrates – (</w:t>
            </w:r>
            <w:proofErr w:type="spellStart"/>
            <w:r w:rsidRPr="00BB764C">
              <w:rPr>
                <w:rFonts w:cs="Calibri"/>
              </w:rPr>
              <w:t>Phy</w:t>
            </w:r>
            <w:proofErr w:type="spellEnd"/>
            <w:r w:rsidRPr="00BB764C">
              <w:rPr>
                <w:rFonts w:cs="Calibri"/>
              </w:rPr>
              <w:t>)-L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4F4B86C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0B6E3FD5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76DD94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2F1F3A81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TBL-1- Infectious causes of Gastroenteritis (Dept. of Micro.)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5C142221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46FD69E4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F937AD0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77DB4C62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Physiology of the GIT Motility- (Phys.) LAB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330E4F1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6D7BD8F8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2D43AAE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22DBD970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Digestion &amp; absorption of lipids  – (</w:t>
            </w:r>
            <w:proofErr w:type="spellStart"/>
            <w:r w:rsidRPr="00BB764C">
              <w:rPr>
                <w:rFonts w:cs="Calibri"/>
              </w:rPr>
              <w:t>Phy</w:t>
            </w:r>
            <w:proofErr w:type="spellEnd"/>
            <w:r w:rsidRPr="00BB764C">
              <w:rPr>
                <w:rFonts w:cs="Calibri"/>
              </w:rPr>
              <w:t>)-L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7316851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6C26327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433F915D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78B86C95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Intestinal Pathology infectious and inflammatory diseases (Path.)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62A7B20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0A7C092D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5A62918E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1276CBE1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Viral causes of diarrhea, Water, and milk borne infections1 – (Micro)-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27841A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46518BD7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5378C4E9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B26F602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proofErr w:type="spellStart"/>
            <w:r w:rsidRPr="00BB764C">
              <w:rPr>
                <w:rFonts w:cs="Calibri"/>
              </w:rPr>
              <w:t>Vibrios</w:t>
            </w:r>
            <w:proofErr w:type="spellEnd"/>
            <w:r w:rsidRPr="00BB764C">
              <w:rPr>
                <w:rFonts w:cs="Calibri"/>
              </w:rPr>
              <w:t>, Campylobacter, helicobacter - (Micro)-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0B8A2FE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2F5A9088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416E9F55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4BE35838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proofErr w:type="spellStart"/>
            <w:r w:rsidRPr="00BB764C">
              <w:rPr>
                <w:rFonts w:cs="Calibri"/>
              </w:rPr>
              <w:t>Enterobacteriacea</w:t>
            </w:r>
            <w:proofErr w:type="spellEnd"/>
            <w:r w:rsidRPr="00BB764C">
              <w:rPr>
                <w:rFonts w:cs="Calibri"/>
              </w:rPr>
              <w:t xml:space="preserve"> 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BBC3C1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70319853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40677837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C7BA268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proofErr w:type="spellStart"/>
            <w:r w:rsidRPr="00BB764C">
              <w:rPr>
                <w:rFonts w:cs="Calibri"/>
              </w:rPr>
              <w:t>Amebiasis</w:t>
            </w:r>
            <w:proofErr w:type="spellEnd"/>
            <w:r w:rsidRPr="00BB764C">
              <w:rPr>
                <w:rFonts w:cs="Calibri"/>
              </w:rPr>
              <w:t xml:space="preserve">, </w:t>
            </w:r>
            <w:proofErr w:type="spellStart"/>
            <w:r w:rsidRPr="00BB764C">
              <w:rPr>
                <w:rFonts w:cs="Calibri"/>
              </w:rPr>
              <w:t>balantidiasis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0E12541D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419FE1FF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9ADA668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5D5C02B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Giardiasis, cryptosporidiosis, </w:t>
            </w:r>
            <w:proofErr w:type="spellStart"/>
            <w:r w:rsidRPr="00BB764C">
              <w:rPr>
                <w:rFonts w:cs="Calibri"/>
              </w:rPr>
              <w:t>isosporiasis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043A0A0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48204206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DADCE9A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7FDBB10C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Intestinal </w:t>
            </w:r>
            <w:proofErr w:type="spellStart"/>
            <w:r w:rsidRPr="00BB764C">
              <w:rPr>
                <w:rFonts w:cs="Calibri"/>
              </w:rPr>
              <w:t>cestodes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2A242806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6885D042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891C3D6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2B12B28C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Nematodes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7587B7B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0ED4579E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093651E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619B1460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proofErr w:type="spellStart"/>
            <w:r w:rsidRPr="00BB764C">
              <w:rPr>
                <w:rFonts w:cs="Calibri"/>
              </w:rPr>
              <w:t>Trematodes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1569970C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64FA7B8B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331FAFB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2F76139A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Microbiology Lab – (Micro.) LAB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FDAB910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C87E2B" w14:paraId="47ED01EE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8627070" w14:textId="77777777" w:rsidR="00614E52" w:rsidRPr="00C87E2B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73807CEF" w14:textId="77777777" w:rsidR="00614E52" w:rsidRPr="00C87E2B" w:rsidRDefault="00614E52" w:rsidP="00AC19C0">
            <w:pPr>
              <w:pStyle w:val="ListParagraph"/>
              <w:ind w:left="0"/>
              <w:rPr>
                <w:rFonts w:cs="Calibri"/>
              </w:rPr>
            </w:pPr>
            <w:r>
              <w:rPr>
                <w:rFonts w:cs="Calibri"/>
              </w:rPr>
              <w:t>PBL 2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2345CD98" w14:textId="77777777" w:rsidR="00614E52" w:rsidRPr="00C87E2B" w:rsidRDefault="00614E52" w:rsidP="00AC19C0">
            <w:pPr>
              <w:jc w:val="center"/>
              <w:rPr>
                <w:rFonts w:cs="Calibri"/>
              </w:rPr>
            </w:pPr>
            <w:r w:rsidRPr="00C87E2B">
              <w:rPr>
                <w:rFonts w:cs="Calibri"/>
              </w:rPr>
              <w:t>2</w:t>
            </w:r>
          </w:p>
        </w:tc>
      </w:tr>
      <w:tr w:rsidR="00614E52" w:rsidRPr="00BB764C" w14:paraId="1973B921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A6FECC3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62DAE4DB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proofErr w:type="spellStart"/>
            <w:r w:rsidRPr="00BB764C">
              <w:rPr>
                <w:rFonts w:cs="Calibri"/>
              </w:rPr>
              <w:t>Antihelminthic</w:t>
            </w:r>
            <w:proofErr w:type="spellEnd"/>
            <w:r w:rsidRPr="00BB764C">
              <w:rPr>
                <w:rFonts w:cs="Calibri"/>
              </w:rPr>
              <w:t>, antiprotozoal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28A949B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1F3C164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791F106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04D828FB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Intestinal Pathology </w:t>
            </w:r>
            <w:proofErr w:type="spellStart"/>
            <w:r w:rsidRPr="00BB764C">
              <w:rPr>
                <w:rFonts w:cs="Calibri"/>
              </w:rPr>
              <w:t>Malabsorption</w:t>
            </w:r>
            <w:proofErr w:type="spellEnd"/>
          </w:p>
        </w:tc>
        <w:tc>
          <w:tcPr>
            <w:tcW w:w="1260" w:type="dxa"/>
            <w:shd w:val="clear" w:color="auto" w:fill="auto"/>
            <w:vAlign w:val="bottom"/>
          </w:tcPr>
          <w:p w14:paraId="73A8E8B1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2128532F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F4EF32A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42D38A4B" w14:textId="77777777" w:rsidR="00614E52" w:rsidRPr="00BB764C" w:rsidRDefault="00614E52" w:rsidP="00AC19C0">
            <w:pPr>
              <w:rPr>
                <w:rFonts w:cs="Calibri"/>
              </w:rPr>
            </w:pPr>
            <w:r w:rsidRPr="00BB764C">
              <w:rPr>
                <w:rFonts w:cs="Calibri"/>
              </w:rPr>
              <w:t>Diarrhea &amp; Constipation (Med)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86D38C9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61C0EABF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0BF596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</w:tcPr>
          <w:p w14:paraId="1CD94839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>
              <w:t>PBL 3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56B4662F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005B1285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40FA7AC7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6444F284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Diagnostic workup of a case of diarrhea and diagnostic methods of cholera lab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418A412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214D08CC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40E232D6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40C51043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Antiemetic, Ant diarrheal drugs &amp; laxatives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30DBE5E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CF516DE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3573C20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64AA4C13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Upper and lower GIT bleeding.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35546F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60A1E032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17B15E5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0A03C477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Diagnostic </w:t>
            </w:r>
            <w:r>
              <w:rPr>
                <w:rFonts w:cs="Calibri"/>
              </w:rPr>
              <w:t xml:space="preserve">methods of </w:t>
            </w:r>
            <w:proofErr w:type="spellStart"/>
            <w:r>
              <w:rPr>
                <w:rFonts w:cs="Calibri"/>
              </w:rPr>
              <w:t>Enterobacteriaceae</w:t>
            </w:r>
            <w:proofErr w:type="spellEnd"/>
            <w:r>
              <w:rPr>
                <w:rFonts w:cs="Calibri"/>
              </w:rPr>
              <w:t xml:space="preserve"> Practical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D94CDA4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14E52" w:rsidRPr="00BB764C" w14:paraId="0CF0A581" w14:textId="77777777" w:rsidTr="00AC19C0">
        <w:trPr>
          <w:cantSplit/>
          <w:trHeight w:val="152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D22D347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7C1020F5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Jaundice – Medicine Skill-Lab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1CD52DD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7EFC4BDD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70A08B4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26FC95C4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Medicine-Skills-Lab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30A58C5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37C0F3C8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FF7565F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3EB9425E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Pediatrics Skills-Lab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433F167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07C34E5B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05500B3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5808799D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Surgery- Skills-Lab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82E6AC8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25A66720" w14:textId="77777777" w:rsidTr="00AC19C0">
        <w:trPr>
          <w:cantSplit/>
          <w:trHeight w:val="193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AA1A869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56C6BC8E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Gall Bladder Pathology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13C6975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129654BF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BCF043F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4FE2EBFB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Functions of the Liver and biliary secretion (Phys.)-L</w:t>
            </w:r>
          </w:p>
        </w:tc>
        <w:tc>
          <w:tcPr>
            <w:tcW w:w="1260" w:type="dxa"/>
            <w:shd w:val="clear" w:color="auto" w:fill="auto"/>
          </w:tcPr>
          <w:p w14:paraId="4F83E934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2FEC689C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C3DE999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5E374DA0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Intesti</w:t>
            </w:r>
            <w:r>
              <w:rPr>
                <w:rFonts w:cs="Calibri"/>
              </w:rPr>
              <w:t xml:space="preserve">nal Nematodes, </w:t>
            </w:r>
            <w:proofErr w:type="spellStart"/>
            <w:r>
              <w:rPr>
                <w:rFonts w:cs="Calibri"/>
              </w:rPr>
              <w:t>Trematodes</w:t>
            </w:r>
            <w:proofErr w:type="spellEnd"/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Mic</w:t>
            </w:r>
            <w:proofErr w:type="spellEnd"/>
            <w:r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</w:tcPr>
          <w:p w14:paraId="0AA9D210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614E52" w14:paraId="311FDF50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B75F660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17798237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Hepatic infections &amp; Helminthes affecting the liver</w:t>
            </w:r>
            <w:r>
              <w:rPr>
                <w:rFonts w:cs="Calibri"/>
              </w:rPr>
              <w:t xml:space="preserve"> (</w:t>
            </w:r>
            <w:proofErr w:type="spellStart"/>
            <w:r>
              <w:rPr>
                <w:rFonts w:cs="Calibri"/>
              </w:rPr>
              <w:t>Mic</w:t>
            </w:r>
            <w:proofErr w:type="spellEnd"/>
            <w:r>
              <w:rPr>
                <w:rFonts w:cs="Calibri"/>
              </w:rPr>
              <w:t>) L</w:t>
            </w:r>
          </w:p>
        </w:tc>
        <w:tc>
          <w:tcPr>
            <w:tcW w:w="1260" w:type="dxa"/>
            <w:shd w:val="clear" w:color="auto" w:fill="auto"/>
          </w:tcPr>
          <w:p w14:paraId="2B853A72" w14:textId="77777777" w:rsidR="00614E52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614E52" w:rsidRPr="00BB764C" w14:paraId="41F9619C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EC6C6DF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1AC82571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Viral Hepatitis</w:t>
            </w:r>
          </w:p>
        </w:tc>
        <w:tc>
          <w:tcPr>
            <w:tcW w:w="1260" w:type="dxa"/>
            <w:shd w:val="clear" w:color="auto" w:fill="auto"/>
          </w:tcPr>
          <w:p w14:paraId="0B511E05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0670C3E4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7227591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2004F1A0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Chronic Liver disease 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8B65892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06267890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F17B634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3BB5C175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Function and control of Pancreatic juice (Phys.)-L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46CB73CE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19139E2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CEBCDCF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4D433918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 Practical session GIT tract (Pathology) – LAB-1 _ (Path.) – (Lab)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26F21EB8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13A6C16F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2B66600E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117FC178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Practical session GIT tract (Pathology) – LAB-2_ (Path.) – (Lab)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D2DDDE6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27F30D25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F5782FB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5B48D835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Pancreatic Pathology (Path.)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49B615E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6A10486C" w14:textId="77777777" w:rsidTr="00AC19C0">
        <w:trPr>
          <w:cantSplit/>
          <w:trHeight w:val="16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324C0E8C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2AD6DCFD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Pancreatitis-Surgery – (Surg.)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FE89E5E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10AB0777" w14:textId="77777777" w:rsidTr="00AC19C0">
        <w:trPr>
          <w:cantSplit/>
          <w:trHeight w:val="296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DB753FE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4D1DFB4F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 xml:space="preserve">Tests for </w:t>
            </w:r>
            <w:proofErr w:type="spellStart"/>
            <w:r w:rsidRPr="00BB764C">
              <w:rPr>
                <w:rFonts w:cs="Calibri"/>
              </w:rPr>
              <w:t>hepatobiliary</w:t>
            </w:r>
            <w:proofErr w:type="spellEnd"/>
            <w:r w:rsidRPr="00BB764C">
              <w:rPr>
                <w:rFonts w:cs="Calibri"/>
              </w:rPr>
              <w:t xml:space="preserve"> and GI pathology (Path.)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23EDCD8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3924D722" w14:textId="77777777" w:rsidTr="00AC19C0">
        <w:trPr>
          <w:cantSplit/>
          <w:trHeight w:val="296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0C4A0E2A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</w:tcPr>
          <w:p w14:paraId="100E2200" w14:textId="77777777" w:rsidR="00614E52" w:rsidRPr="00BB764C" w:rsidRDefault="00614E52" w:rsidP="00AC19C0">
            <w:pPr>
              <w:rPr>
                <w:rFonts w:cs="Calibri"/>
              </w:rPr>
            </w:pPr>
            <w:r w:rsidRPr="00BB764C">
              <w:rPr>
                <w:rFonts w:cs="Calibri"/>
              </w:rPr>
              <w:t>Practical session –Pancreas, Liver, and biliary system (Path) - LAB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93B0B15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5D10A9F1" w14:textId="77777777" w:rsidTr="00AC19C0">
        <w:trPr>
          <w:cantSplit/>
          <w:trHeight w:val="267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555DF729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10DFC87F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Tumors, pre-malignant conditions of the intestine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1B797D" w14:textId="77777777" w:rsidR="00614E52" w:rsidRPr="00BB764C" w:rsidRDefault="00614E52" w:rsidP="00AC19C0">
            <w:pPr>
              <w:pStyle w:val="ListParagraph"/>
              <w:ind w:left="0"/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24D16A71" w14:textId="77777777" w:rsidTr="00AC19C0">
        <w:trPr>
          <w:cantSplit/>
          <w:trHeight w:val="229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6354745D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3A01109E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Bedside teaching – Medicine-1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5E74867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11F6C515" w14:textId="77777777" w:rsidTr="00AC19C0">
        <w:trPr>
          <w:cantSplit/>
          <w:trHeight w:val="345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0ED2E6C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761A8FA4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Bedside teaching – Medicine-2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4057F6F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0C2C26E8" w14:textId="77777777" w:rsidTr="00AC19C0">
        <w:trPr>
          <w:cantSplit/>
          <w:trHeight w:val="345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42F35E91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0D7FB366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Bedside teaching – Pediatrics-1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71217E8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3550D0DF" w14:textId="77777777" w:rsidTr="00AC19C0">
        <w:trPr>
          <w:cantSplit/>
          <w:trHeight w:val="345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4DD3D11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067C8427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Bedside teaching – Pediatrics-2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71E690E0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488928FB" w14:textId="77777777" w:rsidTr="00AC19C0">
        <w:trPr>
          <w:cantSplit/>
          <w:trHeight w:val="345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7869B946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0AF5B076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Bedside teaching –Surgery-1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E7F666D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6491DB66" w14:textId="77777777" w:rsidTr="00AC19C0">
        <w:trPr>
          <w:cantSplit/>
          <w:trHeight w:val="345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50F606AA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096A8DAA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Bedside teaching –Surgery-2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7C9676E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3</w:t>
            </w:r>
          </w:p>
        </w:tc>
      </w:tr>
      <w:tr w:rsidR="00614E52" w:rsidRPr="00BB764C" w14:paraId="490FD90E" w14:textId="77777777" w:rsidTr="00AC19C0">
        <w:trPr>
          <w:cantSplit/>
          <w:trHeight w:val="345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9ABC3C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  <w:vAlign w:val="bottom"/>
          </w:tcPr>
          <w:p w14:paraId="2D341E05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Development and anomalies of the</w:t>
            </w:r>
            <w:r w:rsidRPr="00BB764C">
              <w:t xml:space="preserve"> </w:t>
            </w:r>
            <w:r w:rsidRPr="00BB764C">
              <w:rPr>
                <w:rFonts w:cs="Calibri"/>
              </w:rPr>
              <w:t>oral cavity, pharyngeal arches,</w:t>
            </w:r>
            <w:r w:rsidRPr="00BB764C">
              <w:rPr>
                <w:rFonts w:cs="Calibri"/>
                <w:cs/>
              </w:rPr>
              <w:t>‎</w:t>
            </w:r>
            <w:r w:rsidRPr="00BB764C">
              <w:rPr>
                <w:rFonts w:cs="Calibri"/>
              </w:rPr>
              <w:t xml:space="preserve"> digestive tube, and accessory glands – Tutorial Anatomy (Anat.)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43705F96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14E52" w:rsidRPr="00BB764C" w14:paraId="4B79B537" w14:textId="77777777" w:rsidTr="00AC19C0">
        <w:trPr>
          <w:cantSplit/>
          <w:trHeight w:val="345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06C695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D9D9D9" w:themeFill="background1" w:themeFillShade="D9"/>
            <w:vAlign w:val="bottom"/>
          </w:tcPr>
          <w:p w14:paraId="1EFCE31A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>
              <w:rPr>
                <w:rFonts w:cs="Calibri"/>
              </w:rPr>
              <w:t>PBL 3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66A10CEC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4CEFAB63" w14:textId="77777777" w:rsidTr="00AC19C0">
        <w:trPr>
          <w:cantSplit/>
          <w:trHeight w:val="345"/>
        </w:trPr>
        <w:tc>
          <w:tcPr>
            <w:tcW w:w="904" w:type="dxa"/>
            <w:tcBorders>
              <w:right w:val="single" w:sz="4" w:space="0" w:color="auto"/>
            </w:tcBorders>
            <w:shd w:val="clear" w:color="auto" w:fill="auto"/>
          </w:tcPr>
          <w:p w14:paraId="1729E602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shd w:val="clear" w:color="auto" w:fill="auto"/>
            <w:vAlign w:val="bottom"/>
          </w:tcPr>
          <w:p w14:paraId="3D69AB33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Intestinal Obstruction – Surg. - L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19D9A084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1</w:t>
            </w:r>
          </w:p>
        </w:tc>
      </w:tr>
      <w:tr w:rsidR="00614E52" w:rsidRPr="00BB764C" w14:paraId="500EA719" w14:textId="77777777" w:rsidTr="00AC19C0">
        <w:trPr>
          <w:cantSplit/>
          <w:trHeight w:val="345"/>
        </w:trPr>
        <w:tc>
          <w:tcPr>
            <w:tcW w:w="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E117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5DE6F5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Normal and abnormal Radiology and Imaging of the GIT Radio. LAB</w:t>
            </w:r>
            <w:r>
              <w:rPr>
                <w:rFonts w:cs="Calibri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71EFF1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0DCED39D" w14:textId="77777777" w:rsidTr="00AC19C0">
        <w:trPr>
          <w:cantSplit/>
          <w:trHeight w:val="345"/>
        </w:trPr>
        <w:tc>
          <w:tcPr>
            <w:tcW w:w="90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D586A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FA5B313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Normal and abnormal Radiology and Imaging of the GIT Radio. LAB</w:t>
            </w:r>
            <w:r>
              <w:rPr>
                <w:rFonts w:cs="Calibri"/>
              </w:rPr>
              <w:t>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D3AE35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</w:tr>
      <w:tr w:rsidR="00614E52" w:rsidRPr="00BB764C" w14:paraId="25D72EBF" w14:textId="77777777" w:rsidTr="00AC19C0">
        <w:trPr>
          <w:cantSplit/>
          <w:trHeight w:val="345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F5E5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rPr>
                <w:lang w:val="fr-FR"/>
              </w:rPr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E2416" w14:textId="77777777" w:rsidR="00614E52" w:rsidRPr="00BB764C" w:rsidRDefault="00614E52" w:rsidP="00AC19C0">
            <w:pPr>
              <w:pStyle w:val="ListParagraph"/>
              <w:ind w:left="0"/>
              <w:rPr>
                <w:rFonts w:cs="Calibri"/>
              </w:rPr>
            </w:pPr>
            <w:r w:rsidRPr="00BB764C">
              <w:rPr>
                <w:rFonts w:cs="Calibri"/>
              </w:rPr>
              <w:t>Radiology and Imaging of the GIT Radio. LAB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4E4A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651C44A7" w14:textId="77777777" w:rsidTr="00AC19C0">
        <w:trPr>
          <w:cantSplit/>
          <w:trHeight w:val="539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292243" w14:textId="77777777" w:rsidR="00614E52" w:rsidRPr="00BB764C" w:rsidRDefault="00614E52" w:rsidP="009E4A94">
            <w:pPr>
              <w:numPr>
                <w:ilvl w:val="0"/>
                <w:numId w:val="2"/>
              </w:numPr>
              <w:contextualSpacing/>
              <w:jc w:val="both"/>
              <w:rPr>
                <w:lang w:val="fr-FR"/>
              </w:rPr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44C1F" w14:textId="77777777" w:rsidR="00614E52" w:rsidRPr="00BB764C" w:rsidRDefault="00614E52" w:rsidP="00AC19C0">
            <w:pPr>
              <w:jc w:val="both"/>
              <w:rPr>
                <w:rFonts w:cs="Calibri"/>
              </w:rPr>
            </w:pPr>
            <w:r w:rsidRPr="00BB764C">
              <w:t xml:space="preserve">TBL-2: </w:t>
            </w:r>
            <w:r w:rsidRPr="00BB764C">
              <w:rPr>
                <w:rFonts w:cs="Calibri"/>
              </w:rPr>
              <w:t>Surgical causes of Jaundice (Dept. of Surgery)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B8E455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 w:rsidRPr="00BB764C">
              <w:rPr>
                <w:rFonts w:cs="Calibri"/>
              </w:rPr>
              <w:t>2</w:t>
            </w:r>
          </w:p>
        </w:tc>
      </w:tr>
      <w:tr w:rsidR="00614E52" w:rsidRPr="00BB764C" w14:paraId="674C1777" w14:textId="77777777" w:rsidTr="00AC19C0">
        <w:trPr>
          <w:cantSplit/>
          <w:trHeight w:val="539"/>
        </w:trPr>
        <w:tc>
          <w:tcPr>
            <w:tcW w:w="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A838" w14:textId="77777777" w:rsidR="00614E52" w:rsidRPr="00BB764C" w:rsidRDefault="00614E52" w:rsidP="00AC19C0">
            <w:pPr>
              <w:ind w:left="720"/>
              <w:contextualSpacing/>
              <w:jc w:val="both"/>
              <w:rPr>
                <w:lang w:val="fr-FR"/>
              </w:rPr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C0EE3" w14:textId="77777777" w:rsidR="00614E52" w:rsidRPr="00BB764C" w:rsidRDefault="00614E52" w:rsidP="00AC19C0">
            <w:pPr>
              <w:jc w:val="both"/>
            </w:pPr>
            <w:r>
              <w:t>Total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EA31" w14:textId="77777777" w:rsidR="00614E52" w:rsidRPr="00BB764C" w:rsidRDefault="00614E52" w:rsidP="00AC19C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139</w:t>
            </w:r>
          </w:p>
        </w:tc>
      </w:tr>
    </w:tbl>
    <w:p w14:paraId="4BF0729E" w14:textId="3B55F82B" w:rsidR="00614E52" w:rsidRDefault="00614E52" w:rsidP="00614E52">
      <w:pPr>
        <w:pStyle w:val="Heading1"/>
        <w:ind w:left="360"/>
      </w:pPr>
    </w:p>
    <w:p w14:paraId="3C50026B" w14:textId="77777777" w:rsidR="00614E52" w:rsidRPr="00614E52" w:rsidRDefault="00614E52" w:rsidP="00614E52">
      <w:pPr>
        <w:rPr>
          <w:lang w:bidi="ar-EG"/>
        </w:rPr>
      </w:pPr>
    </w:p>
    <w:bookmarkEnd w:id="6"/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4ADAEF18" w14:textId="1129A40E" w:rsidR="00614E52" w:rsidRPr="00246F9C" w:rsidRDefault="00E34F0F" w:rsidP="009E4A94">
      <w:pPr>
        <w:pStyle w:val="Heading1"/>
        <w:numPr>
          <w:ilvl w:val="0"/>
          <w:numId w:val="1"/>
        </w:numPr>
      </w:pPr>
      <w:bookmarkStart w:id="7" w:name="_Toc951381"/>
      <w:r w:rsidRPr="00246F9C">
        <w:t>Assessment Tasks for Stude</w:t>
      </w:r>
      <w:r w:rsidR="00614E52">
        <w:t>nts</w:t>
      </w:r>
    </w:p>
    <w:tbl>
      <w:tblPr>
        <w:tblW w:w="0" w:type="auto"/>
        <w:tblInd w:w="-1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5412"/>
        <w:gridCol w:w="1313"/>
        <w:gridCol w:w="2190"/>
      </w:tblGrid>
      <w:tr w:rsidR="00614E52" w:rsidRPr="001B5102" w14:paraId="4FFC8585" w14:textId="77777777" w:rsidTr="00AC19C0">
        <w:trPr>
          <w:tblHeader/>
        </w:trPr>
        <w:tc>
          <w:tcPr>
            <w:tcW w:w="60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C134F86" w14:textId="77777777" w:rsidR="00614E52" w:rsidRPr="005D2DDD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BDE9F6C" w14:textId="77777777" w:rsidR="00614E52" w:rsidRPr="005D2DDD" w:rsidRDefault="00614E52" w:rsidP="00AC19C0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696C09C" w14:textId="77777777" w:rsidR="00614E52" w:rsidRPr="005D2DDD" w:rsidRDefault="00614E52" w:rsidP="00AC19C0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067FA5D" w14:textId="77777777" w:rsidR="00614E52" w:rsidRPr="001B5102" w:rsidRDefault="00614E52" w:rsidP="00AC19C0">
            <w:pPr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614E52" w:rsidRPr="00972B20" w14:paraId="656A6EBA" w14:textId="77777777" w:rsidTr="00AC19C0">
        <w:trPr>
          <w:trHeight w:val="260"/>
        </w:trPr>
        <w:tc>
          <w:tcPr>
            <w:tcW w:w="605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9B20F3" w14:textId="77777777" w:rsidR="00614E52" w:rsidRPr="009D1E6C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B4BD7C1" w14:textId="77777777" w:rsidR="00614E52" w:rsidRPr="00972B20" w:rsidRDefault="00614E52" w:rsidP="00AC19C0">
            <w:pPr>
              <w:jc w:val="lowKashida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 xml:space="preserve">Mid-block exam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A0D9E9" w14:textId="77777777" w:rsidR="00614E52" w:rsidRPr="00972B20" w:rsidRDefault="00614E52" w:rsidP="00AC19C0">
            <w:pPr>
              <w:jc w:val="center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Week 4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30D48E78" w14:textId="77777777" w:rsidR="00614E52" w:rsidRPr="00972B20" w:rsidRDefault="00614E52" w:rsidP="00AC19C0">
            <w:pPr>
              <w:jc w:val="center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20 %</w:t>
            </w:r>
          </w:p>
        </w:tc>
      </w:tr>
      <w:tr w:rsidR="00614E52" w:rsidRPr="00972B20" w14:paraId="0DCC6EA7" w14:textId="77777777" w:rsidTr="00AC19C0">
        <w:trPr>
          <w:trHeight w:val="260"/>
        </w:trPr>
        <w:tc>
          <w:tcPr>
            <w:tcW w:w="60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26CD4E" w14:textId="77777777" w:rsidR="00614E52" w:rsidRPr="009D1E6C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9F0D37" w14:textId="77777777" w:rsidR="00614E52" w:rsidRPr="00972B20" w:rsidRDefault="00614E52" w:rsidP="00AC19C0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TBL assessment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6CAD5B1" w14:textId="77777777" w:rsidR="00614E52" w:rsidRPr="00972B20" w:rsidRDefault="00614E52" w:rsidP="00AC19C0">
            <w:pPr>
              <w:jc w:val="center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Weeks 2-5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E74B18D" w14:textId="77777777" w:rsidR="00614E52" w:rsidRPr="00972B20" w:rsidRDefault="00614E52" w:rsidP="00AC19C0">
            <w:pPr>
              <w:jc w:val="center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10%</w:t>
            </w:r>
          </w:p>
        </w:tc>
      </w:tr>
      <w:tr w:rsidR="00614E52" w:rsidRPr="00972B20" w14:paraId="42CD8727" w14:textId="77777777" w:rsidTr="00AC19C0">
        <w:trPr>
          <w:trHeight w:val="260"/>
        </w:trPr>
        <w:tc>
          <w:tcPr>
            <w:tcW w:w="60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BDBD07" w14:textId="77777777" w:rsidR="00614E52" w:rsidRPr="009D1E6C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09B6DE" w14:textId="77777777" w:rsidR="00614E52" w:rsidRPr="00972B20" w:rsidRDefault="00614E52" w:rsidP="00AC19C0">
            <w:pPr>
              <w:jc w:val="lowKashida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PBL assessment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7B95044" w14:textId="77777777" w:rsidR="00614E52" w:rsidRPr="00972B20" w:rsidRDefault="00614E52" w:rsidP="00AC19C0">
            <w:pPr>
              <w:jc w:val="center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Weeks 1-6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B4936F0" w14:textId="77777777" w:rsidR="00614E52" w:rsidRPr="00972B20" w:rsidRDefault="00614E52" w:rsidP="00AC19C0">
            <w:pPr>
              <w:jc w:val="center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10 %</w:t>
            </w:r>
          </w:p>
        </w:tc>
      </w:tr>
      <w:tr w:rsidR="00614E52" w:rsidRPr="00972B20" w14:paraId="12BDA9D9" w14:textId="77777777" w:rsidTr="00AC19C0">
        <w:trPr>
          <w:trHeight w:val="260"/>
        </w:trPr>
        <w:tc>
          <w:tcPr>
            <w:tcW w:w="605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1C6C7A5" w14:textId="77777777" w:rsidR="00614E52" w:rsidRPr="009D1E6C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1E5F509" w14:textId="77777777" w:rsidR="00614E52" w:rsidRPr="00972B20" w:rsidRDefault="00614E52" w:rsidP="00AC19C0">
            <w:pPr>
              <w:rPr>
                <w:rFonts w:asciiTheme="majorBidi" w:hAnsiTheme="majorBidi" w:cstheme="majorBidi"/>
                <w:lang w:val="en-AU" w:bidi="ar-EG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End of course exams:</w:t>
            </w:r>
          </w:p>
          <w:p w14:paraId="0DF629EC" w14:textId="77777777" w:rsidR="00614E52" w:rsidRPr="00972B20" w:rsidRDefault="00614E52" w:rsidP="00AC19C0">
            <w:pPr>
              <w:contextualSpacing/>
              <w:rPr>
                <w:rFonts w:asciiTheme="majorBidi" w:hAnsiTheme="majorBidi" w:cstheme="majorBidi"/>
                <w:lang w:val="en-AU" w:bidi="ar-EG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 xml:space="preserve">- Written: MCQs (40%)   </w:t>
            </w:r>
          </w:p>
          <w:p w14:paraId="37B2F96F" w14:textId="77777777" w:rsidR="00614E52" w:rsidRPr="00972B20" w:rsidRDefault="00614E52" w:rsidP="00AC19C0">
            <w:pPr>
              <w:jc w:val="lowKashida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- Practical: OSPE (20%)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817E1BA" w14:textId="77777777" w:rsidR="00614E52" w:rsidRDefault="00614E52" w:rsidP="00AC19C0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</w:p>
          <w:p w14:paraId="773B8491" w14:textId="77777777" w:rsidR="00614E52" w:rsidRPr="00972B20" w:rsidRDefault="00614E52" w:rsidP="00AC19C0">
            <w:pPr>
              <w:jc w:val="center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Week 7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159B360" w14:textId="77777777" w:rsidR="00614E52" w:rsidRDefault="00614E52" w:rsidP="00AC19C0">
            <w:pPr>
              <w:jc w:val="center"/>
              <w:rPr>
                <w:rFonts w:asciiTheme="majorBidi" w:hAnsiTheme="majorBidi" w:cstheme="majorBidi"/>
                <w:lang w:val="en-AU" w:bidi="ar-EG"/>
              </w:rPr>
            </w:pPr>
          </w:p>
          <w:p w14:paraId="294337BA" w14:textId="77777777" w:rsidR="00614E52" w:rsidRPr="00972B20" w:rsidRDefault="00614E52" w:rsidP="00AC19C0">
            <w:pPr>
              <w:jc w:val="center"/>
              <w:rPr>
                <w:rFonts w:asciiTheme="majorBidi" w:hAnsiTheme="majorBidi" w:cstheme="majorBidi"/>
              </w:rPr>
            </w:pPr>
            <w:r w:rsidRPr="00972B20">
              <w:rPr>
                <w:rFonts w:asciiTheme="majorBidi" w:hAnsiTheme="majorBidi" w:cstheme="majorBidi"/>
                <w:lang w:val="en-AU" w:bidi="ar-EG"/>
              </w:rPr>
              <w:t>60%</w:t>
            </w:r>
          </w:p>
        </w:tc>
      </w:tr>
    </w:tbl>
    <w:bookmarkEnd w:id="7"/>
    <w:p w14:paraId="26B38947" w14:textId="33D43865" w:rsidR="00E34F0F" w:rsidRDefault="00E34F0F" w:rsidP="00614E52">
      <w:pPr>
        <w:pStyle w:val="Heading1"/>
        <w:ind w:left="360"/>
      </w:pPr>
      <w:r w:rsidRPr="00246F9C">
        <w:t xml:space="preserve"> </w:t>
      </w:r>
    </w:p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63D9A502" w:rsidR="00417BF7" w:rsidRPr="00D74CBE" w:rsidRDefault="00417BF7" w:rsidP="00246F9C">
      <w:pPr>
        <w:pStyle w:val="Heading1"/>
      </w:pPr>
    </w:p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246F9C">
      <w:pPr>
        <w:pStyle w:val="Heading1"/>
      </w:pPr>
      <w:bookmarkStart w:id="8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8"/>
    </w:p>
    <w:p w14:paraId="638E000D" w14:textId="77777777" w:rsidR="00614E5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9" w:name="_Toc951384"/>
      <w:proofErr w:type="gramStart"/>
      <w:r w:rsidRPr="00C4342E">
        <w:rPr>
          <w:rFonts w:asciiTheme="majorBidi" w:hAnsiTheme="majorBidi" w:cstheme="majorBidi"/>
          <w:sz w:val="26"/>
          <w:szCs w:val="26"/>
        </w:rPr>
        <w:t>1.Learning</w:t>
      </w:r>
      <w:proofErr w:type="gramEnd"/>
      <w:r w:rsidRPr="00C4342E">
        <w:rPr>
          <w:rFonts w:asciiTheme="majorBidi" w:hAnsiTheme="majorBidi" w:cstheme="majorBidi"/>
          <w:sz w:val="26"/>
          <w:szCs w:val="26"/>
        </w:rPr>
        <w:t xml:space="preserve"> Resources</w:t>
      </w:r>
      <w:bookmarkEnd w:id="9"/>
    </w:p>
    <w:tbl>
      <w:tblPr>
        <w:tblStyle w:val="TableGrid"/>
        <w:tblW w:w="96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7012"/>
      </w:tblGrid>
      <w:tr w:rsidR="00614E52" w:rsidRPr="00B2584C" w14:paraId="6EECF22A" w14:textId="77777777" w:rsidTr="00AC19C0">
        <w:trPr>
          <w:trHeight w:val="736"/>
        </w:trPr>
        <w:tc>
          <w:tcPr>
            <w:tcW w:w="2603" w:type="dxa"/>
            <w:vAlign w:val="center"/>
          </w:tcPr>
          <w:p w14:paraId="59A4EBBB" w14:textId="77777777" w:rsidR="00614E52" w:rsidRPr="005D2DDD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7012" w:type="dxa"/>
            <w:vAlign w:val="center"/>
          </w:tcPr>
          <w:p w14:paraId="26F44C30" w14:textId="77777777" w:rsidR="00614E52" w:rsidRDefault="00614E52" w:rsidP="00AC19C0">
            <w:pPr>
              <w:pStyle w:val="BodyTextIndent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051B8C75" w14:textId="77777777" w:rsidR="00614E52" w:rsidRPr="00ED6A3C" w:rsidRDefault="00614E52" w:rsidP="00AC19C0">
            <w:pPr>
              <w:pStyle w:val="BodyTextIndent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>ANATOMY</w:t>
            </w:r>
          </w:p>
          <w:p w14:paraId="0CE80EC4" w14:textId="77777777" w:rsidR="00614E52" w:rsidRDefault="00614E52" w:rsidP="009E4A9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Gray’s Anatomy for Students. Richard L. Drake, Wayne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Vogal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and Adam W. Mitchell. 3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rd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</w:t>
            </w:r>
            <w:r>
              <w:rPr>
                <w:rFonts w:asciiTheme="majorBidi" w:hAnsiTheme="majorBidi" w:cstheme="majorBidi"/>
                <w:sz w:val="22"/>
                <w:szCs w:val="22"/>
              </w:rPr>
              <w:t>.</w:t>
            </w:r>
          </w:p>
          <w:p w14:paraId="3D8B39C3" w14:textId="77777777" w:rsidR="00614E52" w:rsidRPr="00ED6A3C" w:rsidRDefault="00614E52" w:rsidP="009E4A9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u w:val="single"/>
              </w:rPr>
              <w:t xml:space="preserve">Clinical anatomy by systems 13th edition 2006. </w:t>
            </w:r>
            <w:proofErr w:type="gramStart"/>
            <w:r w:rsidRPr="00ED6A3C">
              <w:rPr>
                <w:rFonts w:asciiTheme="majorBidi" w:hAnsiTheme="majorBidi" w:cstheme="majorBidi"/>
                <w:u w:val="single"/>
              </w:rPr>
              <w:t>Richard  S</w:t>
            </w:r>
            <w:proofErr w:type="gramEnd"/>
            <w:r w:rsidRPr="00ED6A3C">
              <w:rPr>
                <w:rFonts w:asciiTheme="majorBidi" w:hAnsiTheme="majorBidi" w:cstheme="majorBidi"/>
                <w:u w:val="single"/>
              </w:rPr>
              <w:t xml:space="preserve"> Snell. Lippincott Wilkins and Williams. ISBN – 978078179164-9</w:t>
            </w:r>
            <w:r>
              <w:rPr>
                <w:rFonts w:asciiTheme="majorBidi" w:hAnsiTheme="majorBidi" w:cstheme="majorBidi"/>
                <w:u w:val="single"/>
              </w:rPr>
              <w:t>.</w:t>
            </w:r>
          </w:p>
          <w:p w14:paraId="2133CF66" w14:textId="77777777" w:rsidR="00614E52" w:rsidRPr="00ED6A3C" w:rsidRDefault="00614E52" w:rsidP="009E4A94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u w:val="single"/>
              </w:rPr>
              <w:t xml:space="preserve">Snell's Clinical Anatomy by Regions 10 edition 2019. </w:t>
            </w:r>
            <w:proofErr w:type="gramStart"/>
            <w:r w:rsidRPr="00ED6A3C">
              <w:rPr>
                <w:rFonts w:asciiTheme="majorBidi" w:hAnsiTheme="majorBidi" w:cstheme="majorBidi"/>
                <w:u w:val="single"/>
              </w:rPr>
              <w:t>Richard  S</w:t>
            </w:r>
            <w:proofErr w:type="gramEnd"/>
            <w:r w:rsidRPr="00ED6A3C">
              <w:rPr>
                <w:rFonts w:asciiTheme="majorBidi" w:hAnsiTheme="majorBidi" w:cstheme="majorBidi"/>
                <w:u w:val="single"/>
              </w:rPr>
              <w:t xml:space="preserve"> Snell. LWW. ISBN-13: 978-1496345646</w:t>
            </w:r>
          </w:p>
          <w:p w14:paraId="5BA84290" w14:textId="77777777" w:rsidR="00614E52" w:rsidRPr="00ED6A3C" w:rsidRDefault="00614E52" w:rsidP="00AC19C0">
            <w:pPr>
              <w:pStyle w:val="BodyTextIndent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>HISTOLOGY:</w:t>
            </w:r>
          </w:p>
          <w:p w14:paraId="610E653A" w14:textId="77777777" w:rsidR="00614E52" w:rsidRPr="00ED6A3C" w:rsidRDefault="00614E52" w:rsidP="009E4A9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WHEATER’S Functional Histology: A Text and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Colour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Atlas. Barbara Young, Phillip Woodford and Geraldine O’Dowd. 6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004E56E3" w14:textId="77777777" w:rsidR="00614E52" w:rsidRPr="00ED6A3C" w:rsidRDefault="00614E52" w:rsidP="009E4A9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lastRenderedPageBreak/>
              <w:t xml:space="preserve">JUNQUEIRA’S Basic Histology: text and atlas. Antony L.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Mescher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>. 14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5867FCC2" w14:textId="77777777" w:rsidR="00614E52" w:rsidRPr="00ED6A3C" w:rsidRDefault="00614E52" w:rsidP="009E4A94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u w:val="single"/>
              </w:rPr>
              <w:t xml:space="preserve">Text and atlas 2016 Antony L </w:t>
            </w:r>
            <w:proofErr w:type="spellStart"/>
            <w:r w:rsidRPr="00ED6A3C">
              <w:rPr>
                <w:rFonts w:asciiTheme="majorBidi" w:hAnsiTheme="majorBidi" w:cstheme="majorBidi"/>
                <w:u w:val="single"/>
              </w:rPr>
              <w:t>Mescher</w:t>
            </w:r>
            <w:proofErr w:type="spellEnd"/>
            <w:r w:rsidRPr="00ED6A3C">
              <w:rPr>
                <w:rFonts w:asciiTheme="majorBidi" w:hAnsiTheme="majorBidi" w:cstheme="majorBidi"/>
                <w:u w:val="single"/>
              </w:rPr>
              <w:t xml:space="preserve"> McGraw-Hill Companies Inc. ISBN-978-0-7-184270-9</w:t>
            </w:r>
          </w:p>
          <w:p w14:paraId="28588475" w14:textId="77777777" w:rsidR="00614E52" w:rsidRPr="00ED6A3C" w:rsidRDefault="00614E52" w:rsidP="00AC19C0">
            <w:pPr>
              <w:pStyle w:val="BodyTextIndent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EMBRYOLOGY </w:t>
            </w:r>
          </w:p>
          <w:p w14:paraId="66DE4688" w14:textId="77777777" w:rsidR="00614E52" w:rsidRPr="00ED6A3C" w:rsidRDefault="00614E52" w:rsidP="009E4A94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jc w:val="both"/>
              <w:outlineLvl w:val="0"/>
              <w:rPr>
                <w:rFonts w:asciiTheme="majorBidi" w:hAnsiTheme="majorBidi" w:cstheme="majorBidi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The Developing Human: Clinically Oriented Embryology. Keith L. Moore, T. V. N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Persaud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and Mark G.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Torchia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>. 9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7844BAED" w14:textId="77777777" w:rsidR="00614E52" w:rsidRPr="00ED6A3C" w:rsidRDefault="00614E52" w:rsidP="009E4A94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jc w:val="both"/>
              <w:outlineLvl w:val="0"/>
              <w:rPr>
                <w:rFonts w:asciiTheme="majorBidi" w:hAnsiTheme="majorBidi" w:cstheme="majorBidi"/>
                <w:u w:val="single"/>
              </w:rPr>
            </w:pPr>
            <w:proofErr w:type="spellStart"/>
            <w:r w:rsidRPr="00ED6A3C">
              <w:rPr>
                <w:rFonts w:asciiTheme="majorBidi" w:hAnsiTheme="majorBidi" w:cstheme="majorBidi"/>
                <w:u w:val="single"/>
              </w:rPr>
              <w:t>Langman</w:t>
            </w:r>
            <w:proofErr w:type="spellEnd"/>
            <w:r w:rsidRPr="00ED6A3C">
              <w:rPr>
                <w:rFonts w:asciiTheme="majorBidi" w:hAnsiTheme="majorBidi" w:cstheme="majorBidi"/>
                <w:u w:val="single"/>
              </w:rPr>
              <w:t xml:space="preserve"> medical embryology 13th edition 2015. TW Saddler </w:t>
            </w:r>
            <w:proofErr w:type="spellStart"/>
            <w:r w:rsidRPr="00ED6A3C">
              <w:rPr>
                <w:rFonts w:asciiTheme="majorBidi" w:hAnsiTheme="majorBidi" w:cstheme="majorBidi"/>
                <w:u w:val="single"/>
              </w:rPr>
              <w:t>Wolters</w:t>
            </w:r>
            <w:proofErr w:type="spellEnd"/>
            <w:r w:rsidRPr="00ED6A3C">
              <w:rPr>
                <w:rFonts w:asciiTheme="majorBidi" w:hAnsiTheme="majorBidi" w:cstheme="majorBidi"/>
                <w:u w:val="single"/>
              </w:rPr>
              <w:t xml:space="preserve"> </w:t>
            </w:r>
            <w:proofErr w:type="spellStart"/>
            <w:r w:rsidRPr="00ED6A3C">
              <w:rPr>
                <w:rFonts w:asciiTheme="majorBidi" w:hAnsiTheme="majorBidi" w:cstheme="majorBidi"/>
                <w:u w:val="single"/>
              </w:rPr>
              <w:t>Kluwar</w:t>
            </w:r>
            <w:proofErr w:type="spellEnd"/>
            <w:r w:rsidRPr="00ED6A3C">
              <w:rPr>
                <w:rFonts w:asciiTheme="majorBidi" w:hAnsiTheme="majorBidi" w:cstheme="majorBidi"/>
                <w:u w:val="single"/>
              </w:rPr>
              <w:t xml:space="preserve"> Health  ISBN- 978-1-4698-9780-6</w:t>
            </w:r>
          </w:p>
          <w:p w14:paraId="7FC40909" w14:textId="77777777" w:rsidR="00614E52" w:rsidRPr="00ED6A3C" w:rsidRDefault="00614E52" w:rsidP="00AC19C0">
            <w:pPr>
              <w:pStyle w:val="BodyTextIndent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>PHYSIOLOGY:</w:t>
            </w:r>
          </w:p>
          <w:p w14:paraId="1E9B90B0" w14:textId="77777777" w:rsidR="00614E52" w:rsidRPr="00ED6A3C" w:rsidRDefault="00614E52" w:rsidP="009E4A94">
            <w:pPr>
              <w:pStyle w:val="BodyTextIndent"/>
              <w:numPr>
                <w:ilvl w:val="0"/>
                <w:numId w:val="4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Ganong’s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Review of Medical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Physiology.Kim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Barret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et al. 25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 2016</w:t>
            </w:r>
          </w:p>
          <w:p w14:paraId="510A7180" w14:textId="77777777" w:rsidR="00614E52" w:rsidRPr="00ED6A3C" w:rsidRDefault="00614E52" w:rsidP="009E4A94">
            <w:pPr>
              <w:pStyle w:val="BodyTextIndent"/>
              <w:numPr>
                <w:ilvl w:val="0"/>
                <w:numId w:val="4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>Guyton ad Hall text book of medical physiology. John E. Hall. 13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 2016</w:t>
            </w:r>
          </w:p>
          <w:p w14:paraId="18B112DE" w14:textId="77777777" w:rsidR="00614E52" w:rsidRPr="00ED6A3C" w:rsidRDefault="00614E52" w:rsidP="00AC19C0">
            <w:pPr>
              <w:pStyle w:val="BodyTextIndent"/>
              <w:spacing w:after="0"/>
              <w:ind w:left="1512"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5C2DA08B" w14:textId="77777777" w:rsidR="00614E52" w:rsidRPr="00ED6A3C" w:rsidRDefault="00614E52" w:rsidP="009E4A94">
            <w:pPr>
              <w:pStyle w:val="BodyTextIndent"/>
              <w:numPr>
                <w:ilvl w:val="1"/>
                <w:numId w:val="3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BIOCHEMISTRY: </w:t>
            </w:r>
          </w:p>
          <w:p w14:paraId="5D74E2CA" w14:textId="77777777" w:rsidR="00614E52" w:rsidRPr="00ED6A3C" w:rsidRDefault="00614E52" w:rsidP="009E4A94">
            <w:pPr>
              <w:pStyle w:val="BodyTextIndent"/>
              <w:numPr>
                <w:ilvl w:val="0"/>
                <w:numId w:val="5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Medical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biochmistry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. John W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Baynes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and Mark H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Dominiczak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>. 3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rd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682D479B" w14:textId="77777777" w:rsidR="00614E52" w:rsidRPr="00ED6A3C" w:rsidRDefault="00614E52" w:rsidP="009E4A94">
            <w:pPr>
              <w:pStyle w:val="BodyTextIndent"/>
              <w:numPr>
                <w:ilvl w:val="0"/>
                <w:numId w:val="5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>Harpers illustrated biochemistry.28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2C20F88D" w14:textId="77777777" w:rsidR="00614E52" w:rsidRPr="00ED6A3C" w:rsidRDefault="00614E52" w:rsidP="009E4A94">
            <w:pPr>
              <w:pStyle w:val="BodyTextIndent"/>
              <w:numPr>
                <w:ilvl w:val="1"/>
                <w:numId w:val="3"/>
              </w:numPr>
              <w:tabs>
                <w:tab w:val="clear" w:pos="1440"/>
              </w:tabs>
              <w:spacing w:after="0"/>
              <w:ind w:left="792" w:hanging="63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>PHARMACOOGY:</w:t>
            </w:r>
          </w:p>
          <w:p w14:paraId="07EBFAA4" w14:textId="77777777" w:rsidR="00614E52" w:rsidRPr="00ED6A3C" w:rsidRDefault="00614E52" w:rsidP="009E4A94">
            <w:pPr>
              <w:pStyle w:val="BodyTextIndent"/>
              <w:numPr>
                <w:ilvl w:val="0"/>
                <w:numId w:val="6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Goodman and Gillman’s The Pharmacological Basis of THERAPEUTICS.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Laurance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L.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Brunton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, John S.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Lazo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and Keith L. Parker. 11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</w:t>
            </w:r>
          </w:p>
          <w:p w14:paraId="02FB08A6" w14:textId="77777777" w:rsidR="00614E52" w:rsidRPr="00ED6A3C" w:rsidRDefault="00614E52" w:rsidP="009E4A94">
            <w:pPr>
              <w:pStyle w:val="BodyTextIndent"/>
              <w:numPr>
                <w:ilvl w:val="0"/>
                <w:numId w:val="6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>Basic &amp; Clinical Pharmacology by B.G. Katzung.11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73877C14" w14:textId="77777777" w:rsidR="00614E52" w:rsidRPr="00ED6A3C" w:rsidRDefault="00614E52" w:rsidP="00AC19C0">
            <w:pPr>
              <w:pStyle w:val="BodyTextIndent"/>
              <w:spacing w:after="0"/>
              <w:ind w:left="1440" w:right="720"/>
              <w:jc w:val="both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</w:p>
          <w:p w14:paraId="2FAFF8D1" w14:textId="77777777" w:rsidR="00614E52" w:rsidRPr="00ED6A3C" w:rsidRDefault="00614E52" w:rsidP="009E4A94">
            <w:pPr>
              <w:pStyle w:val="BodyTextIndent"/>
              <w:numPr>
                <w:ilvl w:val="1"/>
                <w:numId w:val="3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PATHOLOGY: </w:t>
            </w:r>
          </w:p>
          <w:p w14:paraId="0CE9238D" w14:textId="77777777" w:rsidR="00614E52" w:rsidRPr="00ED6A3C" w:rsidRDefault="00614E52" w:rsidP="009E4A94">
            <w:pPr>
              <w:pStyle w:val="BodyTextInden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>Robbins Basic Pathology. Kumar, Abbas and Aster. 9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67057F7C" w14:textId="77777777" w:rsidR="00614E52" w:rsidRPr="00ED6A3C" w:rsidRDefault="00614E52" w:rsidP="009E4A94">
            <w:pPr>
              <w:pStyle w:val="BodyTextInden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Muir’s Text Book of Pathology, David A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Levison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et</w:t>
            </w:r>
            <w:proofErr w:type="gram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al.14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58F898C7" w14:textId="77777777" w:rsidR="00614E52" w:rsidRDefault="00614E52" w:rsidP="00AC19C0">
            <w:pPr>
              <w:pStyle w:val="BodyTextIndent"/>
              <w:autoSpaceDE w:val="0"/>
              <w:autoSpaceDN w:val="0"/>
              <w:adjustRightInd w:val="0"/>
              <w:spacing w:after="0"/>
              <w:ind w:left="144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409F73D" w14:textId="77777777" w:rsidR="00614E52" w:rsidRDefault="00614E52" w:rsidP="00AC19C0">
            <w:pPr>
              <w:pStyle w:val="BodyTextIndent"/>
              <w:autoSpaceDE w:val="0"/>
              <w:autoSpaceDN w:val="0"/>
              <w:adjustRightInd w:val="0"/>
              <w:spacing w:after="0"/>
              <w:ind w:left="144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D5EBD0C" w14:textId="77777777" w:rsidR="00614E52" w:rsidRPr="00ED6A3C" w:rsidRDefault="00614E52" w:rsidP="00AC19C0">
            <w:pPr>
              <w:pStyle w:val="BodyTextIndent"/>
              <w:autoSpaceDE w:val="0"/>
              <w:autoSpaceDN w:val="0"/>
              <w:adjustRightInd w:val="0"/>
              <w:spacing w:after="0"/>
              <w:ind w:left="144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6873FB0" w14:textId="77777777" w:rsidR="00614E52" w:rsidRPr="00ED6A3C" w:rsidRDefault="00614E52" w:rsidP="009E4A94">
            <w:pPr>
              <w:pStyle w:val="BodyTextIndent"/>
              <w:numPr>
                <w:ilvl w:val="1"/>
                <w:numId w:val="3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>MICROBIOLOGY:</w:t>
            </w:r>
          </w:p>
          <w:p w14:paraId="1DA323F9" w14:textId="77777777" w:rsidR="00614E52" w:rsidRPr="00ED6A3C" w:rsidRDefault="00614E52" w:rsidP="009E4A94">
            <w:pPr>
              <w:pStyle w:val="BodyTextIndent"/>
              <w:numPr>
                <w:ilvl w:val="0"/>
                <w:numId w:val="8"/>
              </w:numPr>
              <w:spacing w:after="0"/>
              <w:ind w:left="142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D6A3C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Jawetz</w:t>
            </w:r>
            <w:proofErr w:type="spellEnd"/>
            <w:r w:rsidRPr="00ED6A3C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ED6A3C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Melnick</w:t>
            </w:r>
            <w:proofErr w:type="spellEnd"/>
            <w:r w:rsidRPr="00ED6A3C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, &amp;</w:t>
            </w:r>
            <w:proofErr w:type="spellStart"/>
            <w:r w:rsidRPr="00ED6A3C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>Adelberg's</w:t>
            </w:r>
            <w:proofErr w:type="spellEnd"/>
            <w:r w:rsidRPr="00ED6A3C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 xml:space="preserve"> Medical Microbiology. 27</w:t>
            </w:r>
            <w:r w:rsidRPr="00ED6A3C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  <w:vertAlign w:val="superscript"/>
              </w:rPr>
              <w:t>th</w:t>
            </w:r>
            <w:r w:rsidRPr="00ED6A3C">
              <w:rPr>
                <w:rStyle w:val="topictitlenomargin1"/>
                <w:rFonts w:asciiTheme="majorBidi" w:hAnsiTheme="majorBidi" w:cstheme="majorBidi"/>
                <w:b w:val="0"/>
                <w:bCs w:val="0"/>
                <w:color w:val="auto"/>
                <w:sz w:val="22"/>
                <w:szCs w:val="22"/>
              </w:rPr>
              <w:t xml:space="preserve"> Ed.</w:t>
            </w:r>
          </w:p>
          <w:p w14:paraId="16A7C38D" w14:textId="77777777" w:rsidR="00614E52" w:rsidRPr="00ED6A3C" w:rsidRDefault="00614E52" w:rsidP="009E4A94">
            <w:pPr>
              <w:pStyle w:val="BodyTextIndent"/>
              <w:numPr>
                <w:ilvl w:val="0"/>
                <w:numId w:val="8"/>
              </w:numPr>
              <w:spacing w:after="0"/>
              <w:ind w:left="1422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Markell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and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Voge’s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Medical parasitology. 9</w:t>
            </w:r>
            <w:r w:rsidRPr="00ED6A3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3D05C5A0" w14:textId="77777777" w:rsidR="00614E52" w:rsidRPr="00ED6A3C" w:rsidRDefault="00614E52" w:rsidP="009E4A94">
            <w:pPr>
              <w:pStyle w:val="BodyTextIndent"/>
              <w:numPr>
                <w:ilvl w:val="1"/>
                <w:numId w:val="3"/>
              </w:numPr>
              <w:tabs>
                <w:tab w:val="clear" w:pos="1440"/>
              </w:tabs>
              <w:spacing w:after="0"/>
              <w:ind w:left="612" w:hanging="450"/>
              <w:jc w:val="both"/>
              <w:outlineLvl w:val="0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  <w:u w:val="single"/>
              </w:rPr>
              <w:t xml:space="preserve">MEDICINE: </w:t>
            </w:r>
          </w:p>
          <w:p w14:paraId="217B56F4" w14:textId="77777777" w:rsidR="00614E52" w:rsidRPr="008E6FEC" w:rsidRDefault="00614E52" w:rsidP="009E4A94">
            <w:pPr>
              <w:pStyle w:val="BodyTextIndent"/>
              <w:numPr>
                <w:ilvl w:val="0"/>
                <w:numId w:val="9"/>
              </w:numPr>
              <w:spacing w:after="0"/>
              <w:ind w:right="720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ED6A3C">
              <w:rPr>
                <w:rFonts w:asciiTheme="majorBidi" w:hAnsiTheme="majorBidi" w:cstheme="majorBidi"/>
                <w:sz w:val="22"/>
                <w:szCs w:val="22"/>
              </w:rPr>
              <w:t>Current Medical Diagnosis &amp;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treatment.Maxine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A. </w:t>
            </w:r>
            <w:proofErr w:type="spellStart"/>
            <w:r w:rsidRPr="00ED6A3C">
              <w:rPr>
                <w:rFonts w:asciiTheme="majorBidi" w:hAnsiTheme="majorBidi" w:cstheme="majorBidi"/>
                <w:sz w:val="22"/>
                <w:szCs w:val="22"/>
              </w:rPr>
              <w:t>Papadakis</w:t>
            </w:r>
            <w:proofErr w:type="spellEnd"/>
            <w:r w:rsidRPr="00ED6A3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r w:rsidRPr="008E6FEC">
              <w:rPr>
                <w:rFonts w:asciiTheme="majorBidi" w:hAnsiTheme="majorBidi" w:cstheme="majorBidi"/>
                <w:sz w:val="22"/>
                <w:szCs w:val="22"/>
              </w:rPr>
              <w:t>and Stephen J. McPhee. 55</w:t>
            </w:r>
            <w:r w:rsidRPr="008E6FE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8E6FEC">
              <w:rPr>
                <w:rFonts w:asciiTheme="majorBidi" w:hAnsiTheme="majorBidi" w:cstheme="majorBidi"/>
                <w:sz w:val="22"/>
                <w:szCs w:val="22"/>
              </w:rPr>
              <w:t xml:space="preserve"> Ed. 2016</w:t>
            </w:r>
          </w:p>
          <w:p w14:paraId="13C3A197" w14:textId="77777777" w:rsidR="00614E52" w:rsidRPr="008E6FEC" w:rsidRDefault="00614E52" w:rsidP="009E4A94">
            <w:pPr>
              <w:pStyle w:val="ListParagraph"/>
              <w:numPr>
                <w:ilvl w:val="0"/>
                <w:numId w:val="9"/>
              </w:numPr>
              <w:jc w:val="lowKashida"/>
              <w:rPr>
                <w:rFonts w:asciiTheme="majorBidi" w:hAnsiTheme="majorBidi" w:cstheme="majorBidi"/>
                <w:sz w:val="22"/>
                <w:szCs w:val="22"/>
              </w:rPr>
            </w:pPr>
            <w:r w:rsidRPr="008E6FEC">
              <w:rPr>
                <w:rFonts w:asciiTheme="majorBidi" w:hAnsiTheme="majorBidi" w:cstheme="majorBidi"/>
                <w:sz w:val="22"/>
                <w:szCs w:val="22"/>
              </w:rPr>
              <w:t xml:space="preserve">Harrison’s principles of internal </w:t>
            </w:r>
            <w:proofErr w:type="spellStart"/>
            <w:r w:rsidRPr="008E6FEC">
              <w:rPr>
                <w:rFonts w:asciiTheme="majorBidi" w:hAnsiTheme="majorBidi" w:cstheme="majorBidi"/>
                <w:sz w:val="22"/>
                <w:szCs w:val="22"/>
              </w:rPr>
              <w:t>medicine.Kasper</w:t>
            </w:r>
            <w:proofErr w:type="spellEnd"/>
            <w:r w:rsidRPr="008E6FEC">
              <w:rPr>
                <w:rFonts w:asciiTheme="majorBidi" w:hAnsiTheme="majorBidi" w:cstheme="majorBidi"/>
                <w:sz w:val="22"/>
                <w:szCs w:val="22"/>
              </w:rPr>
              <w:t xml:space="preserve"> </w:t>
            </w:r>
            <w:proofErr w:type="gramStart"/>
            <w:r w:rsidRPr="008E6FEC">
              <w:rPr>
                <w:rFonts w:asciiTheme="majorBidi" w:hAnsiTheme="majorBidi" w:cstheme="majorBidi"/>
                <w:sz w:val="22"/>
                <w:szCs w:val="22"/>
              </w:rPr>
              <w:t>et</w:t>
            </w:r>
            <w:proofErr w:type="gramEnd"/>
            <w:r w:rsidRPr="008E6FEC">
              <w:rPr>
                <w:rFonts w:asciiTheme="majorBidi" w:hAnsiTheme="majorBidi" w:cstheme="majorBidi"/>
                <w:sz w:val="22"/>
                <w:szCs w:val="22"/>
              </w:rPr>
              <w:t xml:space="preserve"> al.19</w:t>
            </w:r>
            <w:r w:rsidRPr="008E6FEC">
              <w:rPr>
                <w:rFonts w:asciiTheme="majorBidi" w:hAnsiTheme="majorBidi" w:cstheme="majorBidi"/>
                <w:sz w:val="22"/>
                <w:szCs w:val="22"/>
                <w:vertAlign w:val="superscript"/>
              </w:rPr>
              <w:t>th</w:t>
            </w:r>
            <w:r w:rsidRPr="008E6FEC">
              <w:rPr>
                <w:rFonts w:asciiTheme="majorBidi" w:hAnsiTheme="majorBidi" w:cstheme="majorBidi"/>
                <w:sz w:val="22"/>
                <w:szCs w:val="22"/>
              </w:rPr>
              <w:t xml:space="preserve"> Ed.</w:t>
            </w:r>
          </w:p>
          <w:p w14:paraId="531AD441" w14:textId="77777777" w:rsidR="00614E52" w:rsidRPr="008E6FEC" w:rsidRDefault="00614E52" w:rsidP="00AC19C0">
            <w:p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</w:rPr>
            </w:pPr>
            <w:r w:rsidRPr="008E6FEC">
              <w:rPr>
                <w:rFonts w:asciiTheme="majorBidi" w:hAnsiTheme="majorBidi" w:cstheme="majorBidi"/>
                <w:sz w:val="22"/>
                <w:szCs w:val="22"/>
              </w:rPr>
              <w:t xml:space="preserve">10.  </w:t>
            </w:r>
            <w:r w:rsidRPr="008E6FEC">
              <w:rPr>
                <w:rFonts w:asciiTheme="majorBidi" w:hAnsiTheme="majorBidi" w:cstheme="majorBidi"/>
                <w:sz w:val="22"/>
                <w:szCs w:val="22"/>
                <w:u w:val="single"/>
              </w:rPr>
              <w:t>SURGERY:</w:t>
            </w:r>
          </w:p>
          <w:p w14:paraId="474D9682" w14:textId="77777777" w:rsidR="00614E52" w:rsidRPr="006B77D9" w:rsidRDefault="00614E52" w:rsidP="009E4A94">
            <w:pPr>
              <w:pStyle w:val="BodyTextIndent"/>
              <w:numPr>
                <w:ilvl w:val="0"/>
                <w:numId w:val="16"/>
              </w:numPr>
              <w:jc w:val="both"/>
              <w:outlineLvl w:val="0"/>
              <w:rPr>
                <w:rFonts w:asciiTheme="majorBidi" w:hAnsiTheme="majorBidi" w:cstheme="majorBidi"/>
              </w:rPr>
            </w:pPr>
            <w:r w:rsidRPr="006B77D9">
              <w:rPr>
                <w:rFonts w:asciiTheme="majorBidi" w:hAnsiTheme="majorBidi" w:cstheme="majorBidi"/>
              </w:rPr>
              <w:t xml:space="preserve">Bailey &amp; </w:t>
            </w:r>
            <w:proofErr w:type="gramStart"/>
            <w:r w:rsidRPr="006B77D9">
              <w:rPr>
                <w:rFonts w:asciiTheme="majorBidi" w:hAnsiTheme="majorBidi" w:cstheme="majorBidi"/>
              </w:rPr>
              <w:t>love’s :</w:t>
            </w:r>
            <w:proofErr w:type="gramEnd"/>
            <w:r w:rsidRPr="006B77D9">
              <w:rPr>
                <w:rFonts w:asciiTheme="majorBidi" w:hAnsiTheme="majorBidi" w:cstheme="majorBidi"/>
              </w:rPr>
              <w:t xml:space="preserve"> short practice of surgery.</w:t>
            </w:r>
            <w:r>
              <w:rPr>
                <w:rFonts w:asciiTheme="majorBidi" w:hAnsiTheme="majorBidi" w:cstheme="majorBidi"/>
              </w:rPr>
              <w:t xml:space="preserve"> 27</w:t>
            </w:r>
            <w:r w:rsidRPr="006B77D9">
              <w:rPr>
                <w:rFonts w:asciiTheme="majorBidi" w:hAnsiTheme="majorBidi" w:cstheme="majorBidi"/>
                <w:vertAlign w:val="superscript"/>
              </w:rPr>
              <w:t>th</w:t>
            </w:r>
            <w:r>
              <w:rPr>
                <w:rFonts w:asciiTheme="majorBidi" w:hAnsiTheme="majorBidi" w:cstheme="majorBidi"/>
              </w:rPr>
              <w:t xml:space="preserve"> Ed. 2020</w:t>
            </w:r>
          </w:p>
          <w:p w14:paraId="0693CB5A" w14:textId="77777777" w:rsidR="00614E52" w:rsidRPr="00B2584C" w:rsidRDefault="00614E52" w:rsidP="00AC19C0">
            <w:pPr>
              <w:pStyle w:val="BodyTextIndent"/>
              <w:spacing w:after="0"/>
              <w:ind w:right="720"/>
              <w:jc w:val="both"/>
              <w:rPr>
                <w:rFonts w:asciiTheme="majorBidi" w:hAnsiTheme="majorBidi" w:cstheme="majorBidi"/>
                <w:color w:val="FF0000"/>
                <w:sz w:val="22"/>
                <w:szCs w:val="22"/>
                <w:u w:val="single"/>
              </w:rPr>
            </w:pPr>
          </w:p>
        </w:tc>
      </w:tr>
      <w:tr w:rsidR="00614E52" w:rsidRPr="00E115D6" w14:paraId="59D3B751" w14:textId="77777777" w:rsidTr="00AC19C0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313377C" w14:textId="77777777" w:rsidR="00614E52" w:rsidRPr="005D2DDD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lastRenderedPageBreak/>
              <w:t>Essential References Materials</w:t>
            </w:r>
          </w:p>
        </w:tc>
        <w:tc>
          <w:tcPr>
            <w:tcW w:w="7012" w:type="dxa"/>
            <w:shd w:val="clear" w:color="auto" w:fill="DBE5F1" w:themeFill="accent1" w:themeFillTint="33"/>
            <w:vAlign w:val="center"/>
          </w:tcPr>
          <w:p w14:paraId="63445E32" w14:textId="77777777" w:rsidR="00614E52" w:rsidRPr="00B723E6" w:rsidRDefault="00614E52" w:rsidP="009E4A94">
            <w:pPr>
              <w:numPr>
                <w:ilvl w:val="0"/>
                <w:numId w:val="15"/>
              </w:numPr>
              <w:jc w:val="lowKashida"/>
              <w:rPr>
                <w:rFonts w:asciiTheme="majorBidi" w:hAnsiTheme="majorBidi" w:cstheme="majorBidi"/>
                <w:lang w:val="en-AU"/>
              </w:rPr>
            </w:pPr>
            <w:r w:rsidRPr="00B723E6">
              <w:rPr>
                <w:rFonts w:asciiTheme="majorBidi" w:hAnsiTheme="majorBidi" w:cstheme="majorBidi"/>
                <w:lang w:val="en-AU"/>
              </w:rPr>
              <w:t>Rang and dales pharmacology</w:t>
            </w:r>
          </w:p>
          <w:p w14:paraId="50DE8F50" w14:textId="77777777" w:rsidR="00614E52" w:rsidRPr="00B723E6" w:rsidRDefault="00614E52" w:rsidP="009E4A94">
            <w:pPr>
              <w:numPr>
                <w:ilvl w:val="0"/>
                <w:numId w:val="15"/>
              </w:numPr>
              <w:jc w:val="lowKashida"/>
              <w:rPr>
                <w:rFonts w:asciiTheme="majorBidi" w:hAnsiTheme="majorBidi" w:cstheme="majorBidi"/>
                <w:lang w:val="en-AU"/>
              </w:rPr>
            </w:pPr>
            <w:r w:rsidRPr="00B723E6">
              <w:rPr>
                <w:rFonts w:asciiTheme="majorBidi" w:hAnsiTheme="majorBidi" w:cstheme="majorBidi"/>
                <w:lang w:val="en-AU"/>
              </w:rPr>
              <w:t xml:space="preserve">Essentials of medical pharmacology by KD </w:t>
            </w:r>
            <w:proofErr w:type="spellStart"/>
            <w:r w:rsidRPr="00B723E6">
              <w:rPr>
                <w:rFonts w:asciiTheme="majorBidi" w:hAnsiTheme="majorBidi" w:cstheme="majorBidi"/>
                <w:lang w:val="en-AU"/>
              </w:rPr>
              <w:t>tripathi</w:t>
            </w:r>
            <w:proofErr w:type="spellEnd"/>
            <w:r w:rsidRPr="00B723E6">
              <w:rPr>
                <w:rFonts w:asciiTheme="majorBidi" w:hAnsiTheme="majorBidi" w:cstheme="majorBidi"/>
                <w:lang w:val="en-AU"/>
              </w:rPr>
              <w:t xml:space="preserve"> </w:t>
            </w:r>
          </w:p>
          <w:p w14:paraId="052CC02A" w14:textId="77777777" w:rsidR="00614E52" w:rsidRPr="00B723E6" w:rsidRDefault="00614E52" w:rsidP="009E4A94">
            <w:pPr>
              <w:numPr>
                <w:ilvl w:val="0"/>
                <w:numId w:val="15"/>
              </w:numPr>
              <w:jc w:val="lowKashida"/>
              <w:rPr>
                <w:rFonts w:asciiTheme="majorBidi" w:hAnsiTheme="majorBidi" w:cstheme="majorBidi"/>
                <w:lang w:val="en-AU"/>
              </w:rPr>
            </w:pPr>
            <w:r w:rsidRPr="00B723E6">
              <w:rPr>
                <w:rFonts w:asciiTheme="majorBidi" w:hAnsiTheme="majorBidi" w:cstheme="majorBidi"/>
                <w:lang w:val="en-AU"/>
              </w:rPr>
              <w:t>Guyton Textbook of medical physiology.</w:t>
            </w:r>
          </w:p>
          <w:p w14:paraId="20D4C568" w14:textId="77777777" w:rsidR="00614E52" w:rsidRPr="00ED6A3C" w:rsidRDefault="00614E52" w:rsidP="009E4A94">
            <w:pPr>
              <w:numPr>
                <w:ilvl w:val="0"/>
                <w:numId w:val="15"/>
              </w:numPr>
              <w:jc w:val="lowKashida"/>
              <w:rPr>
                <w:rFonts w:asciiTheme="majorBidi" w:hAnsiTheme="majorBidi" w:cstheme="majorBidi"/>
              </w:rPr>
            </w:pPr>
            <w:r w:rsidRPr="00B723E6">
              <w:rPr>
                <w:rFonts w:asciiTheme="majorBidi" w:hAnsiTheme="majorBidi" w:cstheme="majorBidi"/>
                <w:lang w:val="en-AU"/>
              </w:rPr>
              <w:t xml:space="preserve">Medical Microbiology and Immunology by warren </w:t>
            </w:r>
            <w:r w:rsidRPr="00B723E6">
              <w:rPr>
                <w:rFonts w:asciiTheme="majorBidi" w:hAnsiTheme="majorBidi" w:cstheme="majorBidi"/>
                <w:lang w:val="en-AU"/>
              </w:rPr>
              <w:lastRenderedPageBreak/>
              <w:t>Levinson.</w:t>
            </w:r>
          </w:p>
          <w:p w14:paraId="1DA5D876" w14:textId="77777777" w:rsidR="00614E52" w:rsidRPr="00ED6A3C" w:rsidRDefault="00614E52" w:rsidP="009E4A94">
            <w:pPr>
              <w:numPr>
                <w:ilvl w:val="0"/>
                <w:numId w:val="15"/>
              </w:numPr>
              <w:jc w:val="lowKashida"/>
              <w:rPr>
                <w:rFonts w:asciiTheme="majorBidi" w:hAnsiTheme="majorBidi" w:cstheme="majorBidi"/>
              </w:rPr>
            </w:pPr>
            <w:r w:rsidRPr="00B723E6">
              <w:rPr>
                <w:rFonts w:asciiTheme="majorBidi" w:hAnsiTheme="majorBidi" w:cstheme="majorBidi"/>
                <w:lang w:val="en-AU"/>
              </w:rPr>
              <w:t xml:space="preserve">Medical Microbiology and Immunology by Warren Levinson &amp;Ernest </w:t>
            </w:r>
            <w:proofErr w:type="spellStart"/>
            <w:r w:rsidRPr="00B723E6">
              <w:rPr>
                <w:rFonts w:asciiTheme="majorBidi" w:hAnsiTheme="majorBidi" w:cstheme="majorBidi"/>
                <w:lang w:val="en-AU"/>
              </w:rPr>
              <w:t>Jawetz</w:t>
            </w:r>
            <w:proofErr w:type="spellEnd"/>
            <w:r w:rsidRPr="00B723E6">
              <w:rPr>
                <w:rFonts w:asciiTheme="majorBidi" w:hAnsiTheme="majorBidi" w:cstheme="majorBidi"/>
                <w:lang w:val="en-AU"/>
              </w:rPr>
              <w:t>, Examination Board Review.</w:t>
            </w:r>
          </w:p>
          <w:p w14:paraId="7E6DEAC0" w14:textId="77777777" w:rsidR="00614E52" w:rsidRPr="00E115D6" w:rsidRDefault="00614E52" w:rsidP="00AC19C0">
            <w:pPr>
              <w:ind w:left="1080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14E52" w:rsidRPr="00ED6A3C" w14:paraId="5525EA30" w14:textId="77777777" w:rsidTr="00AC19C0">
        <w:trPr>
          <w:trHeight w:val="736"/>
        </w:trPr>
        <w:tc>
          <w:tcPr>
            <w:tcW w:w="2603" w:type="dxa"/>
            <w:vAlign w:val="center"/>
          </w:tcPr>
          <w:p w14:paraId="2A2C8A19" w14:textId="77777777" w:rsidR="00614E52" w:rsidRPr="00FE6640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lastRenderedPageBreak/>
              <w:t>Electronic Materials</w:t>
            </w:r>
          </w:p>
        </w:tc>
        <w:tc>
          <w:tcPr>
            <w:tcW w:w="7012" w:type="dxa"/>
            <w:vAlign w:val="center"/>
          </w:tcPr>
          <w:p w14:paraId="09BABB99" w14:textId="77777777" w:rsidR="00614E52" w:rsidRDefault="00614E52" w:rsidP="00AC19C0">
            <w:pPr>
              <w:pStyle w:val="ListParagraph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</w:p>
          <w:p w14:paraId="5BBBA03E" w14:textId="77777777" w:rsidR="00614E52" w:rsidRPr="005827CC" w:rsidRDefault="00614E52" w:rsidP="009E4A94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 xml:space="preserve">Saudi Digital Library  </w:t>
            </w:r>
            <w:hyperlink r:id="rId12" w:history="1">
              <w:r w:rsidRPr="005827CC">
                <w:rPr>
                  <w:rFonts w:asciiTheme="majorBidi" w:hAnsiTheme="majorBidi" w:cstheme="majorBidi"/>
                  <w:color w:val="0000FF" w:themeColor="hyperlink"/>
                  <w:sz w:val="22"/>
                  <w:szCs w:val="22"/>
                  <w:u w:val="single"/>
                </w:rPr>
                <w:t>https://sdl.edu.sa</w:t>
              </w:r>
            </w:hyperlink>
          </w:p>
          <w:p w14:paraId="47FF4530" w14:textId="77777777" w:rsidR="00614E52" w:rsidRPr="005827CC" w:rsidRDefault="00614E52" w:rsidP="009E4A94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</w:rPr>
            </w:pPr>
            <w:hyperlink r:id="rId13" w:history="1">
              <w:r w:rsidRPr="005827CC">
                <w:rPr>
                  <w:rFonts w:asciiTheme="majorBidi" w:hAnsiTheme="majorBidi" w:cstheme="majorBidi"/>
                  <w:color w:val="0000FF" w:themeColor="hyperlink"/>
                  <w:sz w:val="22"/>
                  <w:szCs w:val="22"/>
                  <w:u w:val="single"/>
                </w:rPr>
                <w:t>http://www.adameducation.com/interactive-physiology</w:t>
              </w:r>
            </w:hyperlink>
          </w:p>
          <w:p w14:paraId="270E1409" w14:textId="77777777" w:rsidR="00614E52" w:rsidRPr="00ED6A3C" w:rsidRDefault="00614E52" w:rsidP="009E4A94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</w:rPr>
            </w:pPr>
            <w:hyperlink r:id="rId14" w:history="1">
              <w:r w:rsidRPr="00A91112">
                <w:rPr>
                  <w:rStyle w:val="Hyperlink"/>
                  <w:rFonts w:asciiTheme="majorBidi" w:hAnsiTheme="majorBidi" w:cstheme="majorBidi"/>
                  <w:sz w:val="22"/>
                  <w:szCs w:val="22"/>
                </w:rPr>
                <w:t>http://www.webpath.med.utah.edu</w:t>
              </w:r>
            </w:hyperlink>
          </w:p>
          <w:p w14:paraId="62236FB0" w14:textId="77777777" w:rsidR="00614E52" w:rsidRPr="00ED6A3C" w:rsidRDefault="00614E52" w:rsidP="009E4A94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</w:rPr>
            </w:pPr>
            <w:hyperlink r:id="rId15" w:history="1">
              <w:r w:rsidRPr="00A91112">
                <w:rPr>
                  <w:rStyle w:val="Hyperlink"/>
                  <w:rFonts w:asciiTheme="majorBidi" w:hAnsiTheme="majorBidi" w:cstheme="majorBidi"/>
                </w:rPr>
                <w:t>WWW.WHO.org</w:t>
              </w:r>
            </w:hyperlink>
          </w:p>
          <w:p w14:paraId="0480ABA7" w14:textId="77777777" w:rsidR="00614E52" w:rsidRPr="00ED6A3C" w:rsidRDefault="00614E52" w:rsidP="009E4A94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</w:rPr>
            </w:pPr>
            <w:hyperlink r:id="rId16" w:history="1">
              <w:r w:rsidRPr="00A91112">
                <w:rPr>
                  <w:rStyle w:val="Hyperlink"/>
                  <w:rFonts w:asciiTheme="majorBidi" w:hAnsiTheme="majorBidi" w:cstheme="majorBidi"/>
                </w:rPr>
                <w:t>WWW.CDC.org</w:t>
              </w:r>
            </w:hyperlink>
          </w:p>
          <w:p w14:paraId="5745CAAE" w14:textId="77777777" w:rsidR="00614E52" w:rsidRPr="00ED6A3C" w:rsidRDefault="00614E52" w:rsidP="009E4A94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</w:rPr>
            </w:pPr>
            <w:hyperlink r:id="rId17" w:history="1">
              <w:r w:rsidRPr="00A91112">
                <w:rPr>
                  <w:rStyle w:val="Hyperlink"/>
                  <w:rFonts w:asciiTheme="majorBidi" w:hAnsiTheme="majorBidi" w:cstheme="majorBidi"/>
                </w:rPr>
                <w:t>WWW.ASM.org</w:t>
              </w:r>
            </w:hyperlink>
          </w:p>
          <w:p w14:paraId="2B7D6B13" w14:textId="77777777" w:rsidR="00614E52" w:rsidRPr="00ED6A3C" w:rsidRDefault="00614E52" w:rsidP="009E4A94">
            <w:pPr>
              <w:pStyle w:val="ListParagraph"/>
              <w:numPr>
                <w:ilvl w:val="0"/>
                <w:numId w:val="10"/>
              </w:numPr>
              <w:jc w:val="lowKashida"/>
              <w:rPr>
                <w:rFonts w:asciiTheme="majorBidi" w:hAnsiTheme="majorBidi" w:cstheme="majorBidi"/>
              </w:rPr>
            </w:pPr>
            <w:hyperlink r:id="rId18" w:history="1">
              <w:r w:rsidRPr="00A91112">
                <w:rPr>
                  <w:rStyle w:val="Hyperlink"/>
                  <w:rFonts w:asciiTheme="majorBidi" w:hAnsiTheme="majorBidi" w:cstheme="majorBidi"/>
                </w:rPr>
                <w:t>WWW.BSAC.org</w:t>
              </w:r>
            </w:hyperlink>
          </w:p>
          <w:p w14:paraId="05818708" w14:textId="77777777" w:rsidR="00614E52" w:rsidRPr="00ED6A3C" w:rsidRDefault="00614E52" w:rsidP="00AC19C0">
            <w:pPr>
              <w:pStyle w:val="ListParagraph"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614E52" w:rsidRPr="00B02B9E" w14:paraId="1253611F" w14:textId="77777777" w:rsidTr="00AC19C0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2A961AB1" w14:textId="77777777" w:rsidR="00614E52" w:rsidRPr="00FE6640" w:rsidRDefault="00614E52" w:rsidP="00AC19C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7012" w:type="dxa"/>
            <w:shd w:val="clear" w:color="auto" w:fill="DBE5F1" w:themeFill="accent1" w:themeFillTint="33"/>
            <w:vAlign w:val="center"/>
          </w:tcPr>
          <w:p w14:paraId="5B8AB750" w14:textId="77777777" w:rsidR="00614E52" w:rsidRPr="00397B7E" w:rsidRDefault="00614E52" w:rsidP="00AC19C0">
            <w:pPr>
              <w:pStyle w:val="ListParagraph"/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</w:p>
          <w:p w14:paraId="73A76F0C" w14:textId="77777777" w:rsidR="00614E52" w:rsidRPr="00B02B9E" w:rsidRDefault="00614E52" w:rsidP="009E4A94">
            <w:pPr>
              <w:pStyle w:val="ListParagraph"/>
              <w:numPr>
                <w:ilvl w:val="0"/>
                <w:numId w:val="11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proofErr w:type="spellStart"/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Ganong’s</w:t>
            </w:r>
            <w:proofErr w:type="spellEnd"/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Review of Medical Physiology, Kim E. Barrett et al, 25</w:t>
            </w:r>
            <w:r w:rsidRPr="00B02B9E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edition, 2016. </w:t>
            </w:r>
          </w:p>
          <w:p w14:paraId="795C0A47" w14:textId="77777777" w:rsidR="00614E52" w:rsidRPr="003F2E96" w:rsidRDefault="00614E52" w:rsidP="009E4A94">
            <w:pPr>
              <w:numPr>
                <w:ilvl w:val="0"/>
                <w:numId w:val="11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Grant’s Atlas of Anatomy, Anne </w:t>
            </w:r>
            <w:proofErr w:type="spellStart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M.R.Agur</w:t>
            </w:r>
            <w:proofErr w:type="spellEnd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, Arthur F. </w:t>
            </w:r>
            <w:proofErr w:type="spellStart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Dalley</w:t>
            </w:r>
            <w:proofErr w:type="spellEnd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, 13</w:t>
            </w:r>
            <w:r w:rsidRPr="003F2E9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 2013</w:t>
            </w:r>
          </w:p>
          <w:p w14:paraId="5B034DC9" w14:textId="77777777" w:rsidR="00614E52" w:rsidRPr="00B02B9E" w:rsidRDefault="00614E52" w:rsidP="009E4A94">
            <w:pPr>
              <w:numPr>
                <w:ilvl w:val="0"/>
                <w:numId w:val="11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  <w:proofErr w:type="spellStart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Merkell</w:t>
            </w:r>
            <w:proofErr w:type="spellEnd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and </w:t>
            </w:r>
            <w:proofErr w:type="spellStart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>Voge’s</w:t>
            </w:r>
            <w:proofErr w:type="spellEnd"/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Medical Parasitology, David T. John et al, 9</w:t>
            </w:r>
            <w:r w:rsidRPr="003F2E96">
              <w:rPr>
                <w:rFonts w:asciiTheme="majorBidi" w:hAnsiTheme="majorBidi" w:cstheme="majorBidi"/>
                <w:sz w:val="22"/>
                <w:szCs w:val="22"/>
                <w:vertAlign w:val="superscript"/>
                <w:lang w:val="en-AU"/>
              </w:rPr>
              <w:t>th</w:t>
            </w:r>
            <w:r w:rsidRPr="003F2E96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edition.2006.</w:t>
            </w:r>
          </w:p>
          <w:p w14:paraId="28CC0BEF" w14:textId="77777777" w:rsidR="00614E52" w:rsidRPr="008C33C3" w:rsidRDefault="00614E52" w:rsidP="009E4A94">
            <w:pPr>
              <w:numPr>
                <w:ilvl w:val="0"/>
                <w:numId w:val="11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proofErr w:type="spellStart"/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Wheater’s</w:t>
            </w:r>
            <w:proofErr w:type="spellEnd"/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basic histopathology</w:t>
            </w:r>
            <w:r w:rsidRPr="008C33C3">
              <w:rPr>
                <w:rFonts w:asciiTheme="majorBidi" w:hAnsiTheme="majorBidi" w:cstheme="majorBidi"/>
                <w:sz w:val="22"/>
                <w:szCs w:val="22"/>
                <w:lang w:val="en-AU"/>
              </w:rPr>
              <w:t xml:space="preserve"> </w:t>
            </w:r>
          </w:p>
          <w:p w14:paraId="36F2A997" w14:textId="77777777" w:rsidR="00614E52" w:rsidRPr="008C33C3" w:rsidRDefault="00614E52" w:rsidP="009E4A94">
            <w:pPr>
              <w:numPr>
                <w:ilvl w:val="0"/>
                <w:numId w:val="11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B02B9E">
              <w:rPr>
                <w:rFonts w:asciiTheme="majorBidi" w:hAnsiTheme="majorBidi" w:cstheme="majorBidi"/>
                <w:sz w:val="22"/>
                <w:szCs w:val="22"/>
                <w:lang w:val="en-AU"/>
              </w:rPr>
              <w:t>Di Fiore’s atlas of histology</w:t>
            </w:r>
          </w:p>
          <w:p w14:paraId="1660D090" w14:textId="77777777" w:rsidR="00614E52" w:rsidRPr="008C33C3" w:rsidRDefault="00614E52" w:rsidP="009E4A94">
            <w:pPr>
              <w:numPr>
                <w:ilvl w:val="0"/>
                <w:numId w:val="11"/>
              </w:numPr>
              <w:jc w:val="lowKashida"/>
              <w:rPr>
                <w:rFonts w:asciiTheme="majorBidi" w:hAnsiTheme="majorBidi" w:cstheme="majorBidi"/>
                <w:sz w:val="22"/>
                <w:szCs w:val="22"/>
                <w:lang w:val="en-AU"/>
              </w:rPr>
            </w:pPr>
            <w:r w:rsidRPr="008C33C3">
              <w:rPr>
                <w:rFonts w:asciiTheme="majorBidi" w:hAnsiTheme="majorBidi" w:cstheme="majorBidi"/>
                <w:sz w:val="22"/>
                <w:szCs w:val="22"/>
              </w:rPr>
              <w:t xml:space="preserve">Diagnostic molecular pathology, William B. Coleman &amp; Gregory J. </w:t>
            </w:r>
            <w:proofErr w:type="spellStart"/>
            <w:r w:rsidRPr="008C33C3">
              <w:rPr>
                <w:rFonts w:asciiTheme="majorBidi" w:hAnsiTheme="majorBidi" w:cstheme="majorBidi"/>
                <w:sz w:val="22"/>
                <w:szCs w:val="22"/>
              </w:rPr>
              <w:t>Tsongalis</w:t>
            </w:r>
            <w:proofErr w:type="spellEnd"/>
          </w:p>
          <w:p w14:paraId="1B2DDB76" w14:textId="77777777" w:rsidR="00614E52" w:rsidRPr="003F2E96" w:rsidRDefault="00614E52" w:rsidP="00AC19C0">
            <w:pPr>
              <w:ind w:left="360"/>
              <w:jc w:val="lowKashida"/>
              <w:rPr>
                <w:rFonts w:asciiTheme="majorBidi" w:hAnsiTheme="majorBidi" w:cstheme="majorBidi"/>
                <w:sz w:val="22"/>
                <w:szCs w:val="22"/>
                <w:u w:val="single"/>
                <w:lang w:val="en-AU"/>
              </w:rPr>
            </w:pPr>
          </w:p>
          <w:p w14:paraId="49490BB8" w14:textId="77777777" w:rsidR="00614E52" w:rsidRPr="00B02B9E" w:rsidRDefault="00614E52" w:rsidP="00AC19C0">
            <w:pPr>
              <w:jc w:val="lowKashida"/>
              <w:rPr>
                <w:rFonts w:asciiTheme="majorBidi" w:hAnsiTheme="majorBidi" w:cstheme="majorBidi"/>
                <w:lang w:val="en-AU"/>
              </w:rPr>
            </w:pPr>
          </w:p>
        </w:tc>
      </w:tr>
    </w:tbl>
    <w:p w14:paraId="575164BB" w14:textId="160F49C6" w:rsidR="001B5102" w:rsidRPr="00614E5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  <w:lang w:val="en-AU"/>
        </w:rPr>
      </w:pPr>
    </w:p>
    <w:p w14:paraId="2E834392" w14:textId="77777777" w:rsidR="00614E52" w:rsidRPr="00614E52" w:rsidRDefault="00614E52" w:rsidP="00614E52"/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0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0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614E52" w:rsidRPr="005D2DDD" w14:paraId="2A96AE83" w14:textId="77777777" w:rsidTr="00AC19C0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09922C0" w14:textId="77777777" w:rsidR="00614E52" w:rsidRPr="005D2DDD" w:rsidRDefault="00614E52" w:rsidP="00AC19C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1" w:name="_Toc521326972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DD6F58B" w14:textId="77777777" w:rsidR="00614E52" w:rsidRPr="005D2DDD" w:rsidRDefault="00614E52" w:rsidP="00AC19C0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614E52" w:rsidRPr="00816F14" w14:paraId="1F62665A" w14:textId="77777777" w:rsidTr="00AC19C0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B1A955" w14:textId="77777777" w:rsidR="00614E52" w:rsidRDefault="00614E52" w:rsidP="00AC19C0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47BA289A" w14:textId="77777777" w:rsidR="00614E52" w:rsidRPr="005D2DDD" w:rsidRDefault="00614E52" w:rsidP="00AC19C0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4BB46633" w14:textId="77777777" w:rsidR="00614E52" w:rsidRPr="00FA4622" w:rsidRDefault="00614E52" w:rsidP="009E4A94">
            <w:pPr>
              <w:numPr>
                <w:ilvl w:val="0"/>
                <w:numId w:val="17"/>
              </w:numPr>
              <w:ind w:left="743" w:hanging="425"/>
              <w:rPr>
                <w:rFonts w:cs="Calibri"/>
              </w:rPr>
            </w:pPr>
            <w:r w:rsidRPr="00FA4622">
              <w:rPr>
                <w:rFonts w:cs="Calibri"/>
              </w:rPr>
              <w:t>Lecture room suitable for students.</w:t>
            </w:r>
          </w:p>
          <w:p w14:paraId="62C18C97" w14:textId="77777777" w:rsidR="00614E52" w:rsidRPr="00FA4622" w:rsidRDefault="00614E52" w:rsidP="009E4A94">
            <w:pPr>
              <w:numPr>
                <w:ilvl w:val="0"/>
                <w:numId w:val="17"/>
              </w:numPr>
              <w:ind w:left="743" w:hanging="425"/>
              <w:rPr>
                <w:rFonts w:cs="Calibri"/>
              </w:rPr>
            </w:pPr>
            <w:r w:rsidRPr="00FA4622">
              <w:rPr>
                <w:rFonts w:cs="Calibri"/>
              </w:rPr>
              <w:t>Laboratories (dissection room-DR, physiology, biochemistry, microbiology, pathology, pharmacology and clinical skill lab) suitable for students.</w:t>
            </w:r>
          </w:p>
          <w:p w14:paraId="363B636F" w14:textId="77777777" w:rsidR="00614E52" w:rsidRPr="00816F14" w:rsidRDefault="00614E52" w:rsidP="00AC19C0">
            <w:pPr>
              <w:ind w:left="743"/>
              <w:rPr>
                <w:rFonts w:cs="Calibri"/>
              </w:rPr>
            </w:pPr>
            <w:r w:rsidRPr="00FA4622">
              <w:rPr>
                <w:rFonts w:cs="Calibri"/>
              </w:rPr>
              <w:t>Teaching hospital for bedside teaching</w:t>
            </w:r>
          </w:p>
        </w:tc>
      </w:tr>
      <w:tr w:rsidR="00614E52" w:rsidRPr="00DD7B7D" w14:paraId="4C50B9E3" w14:textId="77777777" w:rsidTr="00AC19C0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FD5A0C" w14:textId="77777777" w:rsidR="00614E52" w:rsidRPr="002E3EE3" w:rsidRDefault="00614E52" w:rsidP="00AC19C0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3E743F8C" w14:textId="77777777" w:rsidR="00614E52" w:rsidRPr="005D2DDD" w:rsidRDefault="00614E52" w:rsidP="00AC19C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B6B8C0" w14:textId="77777777" w:rsidR="00614E52" w:rsidRDefault="00614E52" w:rsidP="009E4A94">
            <w:pPr>
              <w:numPr>
                <w:ilvl w:val="0"/>
                <w:numId w:val="18"/>
              </w:numPr>
              <w:ind w:left="696"/>
              <w:rPr>
                <w:rFonts w:cs="Calibri"/>
              </w:rPr>
            </w:pPr>
            <w:r w:rsidRPr="00FA4622">
              <w:rPr>
                <w:rFonts w:cs="Calibri"/>
              </w:rPr>
              <w:t>Computers and multimedia projectors in lecture room, PBL room, TBL room and laboratories.</w:t>
            </w:r>
          </w:p>
          <w:p w14:paraId="58DA5DE3" w14:textId="77777777" w:rsidR="00614E52" w:rsidRPr="00DD7B7D" w:rsidRDefault="00614E52" w:rsidP="009E4A94">
            <w:pPr>
              <w:numPr>
                <w:ilvl w:val="0"/>
                <w:numId w:val="18"/>
              </w:numPr>
              <w:ind w:left="696"/>
              <w:rPr>
                <w:rFonts w:cs="Calibri"/>
              </w:rPr>
            </w:pPr>
            <w:r w:rsidRPr="00DD7B7D">
              <w:rPr>
                <w:rFonts w:cs="Calibri"/>
              </w:rPr>
              <w:t xml:space="preserve">There is a need for computers with network and internet access for student learning. </w:t>
            </w:r>
          </w:p>
        </w:tc>
      </w:tr>
      <w:tr w:rsidR="00614E52" w:rsidRPr="00816F14" w14:paraId="2E0DEAE4" w14:textId="77777777" w:rsidTr="00AC19C0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FF80CEF" w14:textId="77777777" w:rsidR="00614E52" w:rsidRPr="002E3EE3" w:rsidRDefault="00614E52" w:rsidP="00AC19C0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7A1513FF" w14:textId="77777777" w:rsidR="00614E52" w:rsidRPr="00C36A18" w:rsidRDefault="00614E52" w:rsidP="00AC19C0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15AD226A" w14:textId="77777777" w:rsidR="00614E52" w:rsidRPr="00816F14" w:rsidRDefault="00614E52" w:rsidP="00AC19C0">
            <w:pPr>
              <w:rPr>
                <w:rFonts w:asciiTheme="majorBidi" w:hAnsiTheme="majorBidi" w:cstheme="majorBidi"/>
              </w:rPr>
            </w:pPr>
            <w:r w:rsidRPr="00816F14">
              <w:rPr>
                <w:rFonts w:asciiTheme="majorBidi" w:hAnsiTheme="majorBidi" w:cstheme="majorBidi"/>
              </w:rPr>
              <w:t>Library supplied with reference, textbooks, and electronic resources</w:t>
            </w:r>
          </w:p>
        </w:tc>
      </w:tr>
    </w:tbl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12" w:name="_GoBack"/>
      <w:bookmarkEnd w:id="12"/>
    </w:p>
    <w:p w14:paraId="4519DBB4" w14:textId="58D99CAC" w:rsidR="00A1573B" w:rsidRPr="00A1573B" w:rsidRDefault="00246F9C" w:rsidP="00246F9C">
      <w:pPr>
        <w:pStyle w:val="Heading1"/>
      </w:pPr>
      <w:bookmarkStart w:id="13" w:name="_Toc532159378"/>
      <w:bookmarkStart w:id="14" w:name="_Toc951387"/>
      <w:bookmarkEnd w:id="11"/>
      <w:r>
        <w:t>F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13"/>
      <w:bookmarkEnd w:id="14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67"/>
        <w:gridCol w:w="740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77777777" w:rsidR="00A1573B" w:rsidRPr="00E115D6" w:rsidRDefault="00A1573B" w:rsidP="00A1573B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9"/>
      <w:footerReference w:type="default" r:id="rId20"/>
      <w:headerReference w:type="first" r:id="rId21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BDD32" w14:textId="77777777" w:rsidR="009E4A94" w:rsidRDefault="009E4A94">
      <w:r>
        <w:separator/>
      </w:r>
    </w:p>
  </w:endnote>
  <w:endnote w:type="continuationSeparator" w:id="0">
    <w:p w14:paraId="4A01426A" w14:textId="77777777" w:rsidR="009E4A94" w:rsidRDefault="009E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altName w:val="Times New Roman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614E52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614E52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9B24E" w14:textId="77777777" w:rsidR="009E4A94" w:rsidRDefault="009E4A94">
      <w:r>
        <w:separator/>
      </w:r>
    </w:p>
  </w:footnote>
  <w:footnote w:type="continuationSeparator" w:id="0">
    <w:p w14:paraId="53DBD265" w14:textId="77777777" w:rsidR="009E4A94" w:rsidRDefault="009E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13EC9"/>
    <w:multiLevelType w:val="hybridMultilevel"/>
    <w:tmpl w:val="CB086C60"/>
    <w:lvl w:ilvl="0" w:tplc="04090011">
      <w:start w:val="1"/>
      <w:numFmt w:val="decimal"/>
      <w:lvlText w:val="%1)"/>
      <w:lvlJc w:val="left"/>
      <w:pPr>
        <w:ind w:left="1003" w:hanging="360"/>
      </w:p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552592A"/>
    <w:multiLevelType w:val="hybridMultilevel"/>
    <w:tmpl w:val="48BCA4E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780870"/>
    <w:multiLevelType w:val="hybridMultilevel"/>
    <w:tmpl w:val="A99A194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933327"/>
    <w:multiLevelType w:val="hybridMultilevel"/>
    <w:tmpl w:val="1024753A"/>
    <w:lvl w:ilvl="0" w:tplc="A16644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A0C70"/>
    <w:multiLevelType w:val="hybridMultilevel"/>
    <w:tmpl w:val="881AD5CC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>
    <w:nsid w:val="12685780"/>
    <w:multiLevelType w:val="hybridMultilevel"/>
    <w:tmpl w:val="361E92B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6">
    <w:nsid w:val="1857663B"/>
    <w:multiLevelType w:val="hybridMultilevel"/>
    <w:tmpl w:val="735AA2E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B42DD7"/>
    <w:multiLevelType w:val="hybridMultilevel"/>
    <w:tmpl w:val="D4F67CDA"/>
    <w:lvl w:ilvl="0" w:tplc="504E1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7E3496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B27AD3"/>
    <w:multiLevelType w:val="hybridMultilevel"/>
    <w:tmpl w:val="795E719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B846D61"/>
    <w:multiLevelType w:val="hybridMultilevel"/>
    <w:tmpl w:val="F570788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D4626C"/>
    <w:multiLevelType w:val="hybridMultilevel"/>
    <w:tmpl w:val="20CCA486"/>
    <w:lvl w:ilvl="0" w:tplc="04090011">
      <w:start w:val="1"/>
      <w:numFmt w:val="decimal"/>
      <w:lvlText w:val="%1)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2">
    <w:nsid w:val="4AA5677D"/>
    <w:multiLevelType w:val="hybridMultilevel"/>
    <w:tmpl w:val="E2849CCE"/>
    <w:lvl w:ilvl="0" w:tplc="04090011">
      <w:start w:val="1"/>
      <w:numFmt w:val="decimal"/>
      <w:lvlText w:val="%1)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3">
    <w:nsid w:val="51112E1F"/>
    <w:multiLevelType w:val="hybridMultilevel"/>
    <w:tmpl w:val="82A0DA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D20FA"/>
    <w:multiLevelType w:val="hybridMultilevel"/>
    <w:tmpl w:val="98B85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161F7"/>
    <w:multiLevelType w:val="hybridMultilevel"/>
    <w:tmpl w:val="0788525E"/>
    <w:lvl w:ilvl="0" w:tplc="234A3B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01B38B0"/>
    <w:multiLevelType w:val="hybridMultilevel"/>
    <w:tmpl w:val="A766652E"/>
    <w:lvl w:ilvl="0" w:tplc="D372336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BAE4FBB"/>
    <w:multiLevelType w:val="hybridMultilevel"/>
    <w:tmpl w:val="00701D60"/>
    <w:lvl w:ilvl="0" w:tplc="4290FCA6">
      <w:start w:val="1"/>
      <w:numFmt w:val="decimal"/>
      <w:lvlText w:val="%1)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14"/>
  </w:num>
  <w:num w:numId="9">
    <w:abstractNumId w:val="12"/>
  </w:num>
  <w:num w:numId="10">
    <w:abstractNumId w:val="3"/>
  </w:num>
  <w:num w:numId="11">
    <w:abstractNumId w:val="17"/>
  </w:num>
  <w:num w:numId="12">
    <w:abstractNumId w:val="0"/>
  </w:num>
  <w:num w:numId="13">
    <w:abstractNumId w:val="10"/>
  </w:num>
  <w:num w:numId="14">
    <w:abstractNumId w:val="5"/>
  </w:num>
  <w:num w:numId="15">
    <w:abstractNumId w:val="15"/>
  </w:num>
  <w:num w:numId="16">
    <w:abstractNumId w:val="1"/>
  </w:num>
  <w:num w:numId="17">
    <w:abstractNumId w:val="16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51F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6F9C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39C9"/>
    <w:rsid w:val="00446A48"/>
    <w:rsid w:val="00451F66"/>
    <w:rsid w:val="0045242D"/>
    <w:rsid w:val="0045288C"/>
    <w:rsid w:val="004546CD"/>
    <w:rsid w:val="004616CB"/>
    <w:rsid w:val="00461CF8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4E52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40A96"/>
    <w:rsid w:val="00741CBB"/>
    <w:rsid w:val="0074327B"/>
    <w:rsid w:val="00743E1A"/>
    <w:rsid w:val="007462BA"/>
    <w:rsid w:val="00747807"/>
    <w:rsid w:val="007514E2"/>
    <w:rsid w:val="007528F9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63FE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2260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4A94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0E7C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163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0577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5D2F"/>
    <w:rsid w:val="00F43012"/>
    <w:rsid w:val="00F4426C"/>
    <w:rsid w:val="00F44579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46F9C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46F9C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character" w:customStyle="1" w:styleId="topictitlenomargin1">
    <w:name w:val="topictitlenomargin1"/>
    <w:rsid w:val="00614E52"/>
    <w:rPr>
      <w:b/>
      <w:bCs/>
      <w:i w:val="0"/>
      <w:iCs w:val="0"/>
      <w:color w:val="99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46F9C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46F9C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character" w:customStyle="1" w:styleId="topictitlenomargin1">
    <w:name w:val="topictitlenomargin1"/>
    <w:rsid w:val="00614E52"/>
    <w:rPr>
      <w:b/>
      <w:bCs/>
      <w:i w:val="0"/>
      <w:iCs w:val="0"/>
      <w:color w:val="99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ameducation.com/interactive-physiology" TargetMode="External"/><Relationship Id="rId18" Type="http://schemas.openxmlformats.org/officeDocument/2006/relationships/hyperlink" Target="http://WWW.BSAC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hyperlink" Target="https://sdl.edu.sa" TargetMode="External"/><Relationship Id="rId17" Type="http://schemas.openxmlformats.org/officeDocument/2006/relationships/hyperlink" Target="http://WWW.ASM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DC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WHO.org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webpath.med.utah.edu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316192-F64F-4D2E-9639-EC3EA705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8</Pages>
  <Words>1621</Words>
  <Characters>9241</Characters>
  <Application>Microsoft Office Word</Application>
  <DocSecurity>0</DocSecurity>
  <Lines>77</Lines>
  <Paragraphs>21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10841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LENEVO</cp:lastModifiedBy>
  <cp:revision>40</cp:revision>
  <cp:lastPrinted>2020-04-23T14:47:00Z</cp:lastPrinted>
  <dcterms:created xsi:type="dcterms:W3CDTF">2019-02-11T07:28:00Z</dcterms:created>
  <dcterms:modified xsi:type="dcterms:W3CDTF">2023-02-01T08:21:00Z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