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B7" w:rsidRPr="00CA70D0" w:rsidRDefault="00D92AB7" w:rsidP="0089664B">
      <w:pPr>
        <w:pStyle w:val="NoSpacing"/>
        <w:bidi w:val="0"/>
        <w:spacing w:before="240" w:afterAutospacing="0" w:line="480" w:lineRule="auto"/>
        <w:ind w:left="0"/>
        <w:jc w:val="center"/>
        <w:rPr>
          <w:rFonts w:ascii="Hacen Newspaper" w:hAnsi="Hacen Newspaper" w:cs="PT Bold Heading"/>
          <w:sz w:val="72"/>
          <w:szCs w:val="72"/>
        </w:rPr>
      </w:pPr>
      <w:r>
        <w:rPr>
          <w:rFonts w:ascii="Hacen Newspaper" w:hAnsi="Hacen Newspaper" w:cs="PT Bold Heading"/>
          <w:sz w:val="72"/>
          <w:szCs w:val="72"/>
        </w:rPr>
        <w:t xml:space="preserve">Addressing the </w:t>
      </w:r>
      <w:r w:rsidR="000124C8">
        <w:rPr>
          <w:rFonts w:ascii="Hacen Newspaper" w:hAnsi="Hacen Newspaper" w:cs="PT Bold Heading"/>
          <w:sz w:val="72"/>
          <w:szCs w:val="72"/>
        </w:rPr>
        <w:t>Academic Risks Report</w:t>
      </w:r>
    </w:p>
    <w:tbl>
      <w:tblPr>
        <w:tblStyle w:val="TableGrid"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70D0" w:rsidTr="00D92AB7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D92AB7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college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D92AB7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D92AB7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program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D92AB7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D92AB7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Academic year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D92AB7" w:rsidRDefault="00D92AB7" w:rsidP="001135EA">
      <w:pPr>
        <w:pStyle w:val="NoSpacing"/>
        <w:spacing w:before="240" w:afterAutospacing="0" w:line="480" w:lineRule="auto"/>
        <w:ind w:left="393"/>
        <w:rPr>
          <w:rFonts w:ascii="Hacen Newspaper" w:hAnsi="Hacen Newspaper" w:cs="PT Bold Heading"/>
          <w:sz w:val="39"/>
          <w:szCs w:val="39"/>
          <w:rtl/>
          <w:lang w:bidi="ar-EG"/>
        </w:rPr>
      </w:pPr>
    </w:p>
    <w:p w:rsidR="00D92AB7" w:rsidRDefault="00717618" w:rsidP="000124C8">
      <w:pPr>
        <w:pStyle w:val="NoSpacing"/>
        <w:numPr>
          <w:ilvl w:val="0"/>
          <w:numId w:val="28"/>
        </w:numPr>
        <w:bidi w:val="0"/>
        <w:spacing w:afterAutospacing="0"/>
        <w:rPr>
          <w:rFonts w:ascii="Hacen Newspaper" w:hAnsi="Hacen Newspaper" w:cs="PT Bold Heading"/>
          <w:sz w:val="39"/>
          <w:szCs w:val="39"/>
          <w:lang w:bidi="ar-EG"/>
        </w:rPr>
      </w:pPr>
      <w:r>
        <w:rPr>
          <w:rFonts w:ascii="Hacen Newspaper" w:hAnsi="Hacen Newspaper" w:cs="PT Bold Heading"/>
          <w:sz w:val="39"/>
          <w:szCs w:val="39"/>
          <w:lang w:bidi="ar-EG"/>
        </w:rPr>
        <w:lastRenderedPageBreak/>
        <w:t xml:space="preserve"> R</w:t>
      </w:r>
      <w:r w:rsidR="00D92AB7">
        <w:rPr>
          <w:rFonts w:ascii="Hacen Newspaper" w:hAnsi="Hacen Newspaper" w:cs="PT Bold Heading"/>
          <w:sz w:val="39"/>
          <w:szCs w:val="39"/>
          <w:lang w:bidi="ar-EG"/>
        </w:rPr>
        <w:t xml:space="preserve">isk </w:t>
      </w:r>
      <w:r w:rsidR="00284563">
        <w:rPr>
          <w:rFonts w:ascii="Hacen Newspaper" w:hAnsi="Hacen Newspaper" w:cs="PT Bold Heading"/>
          <w:sz w:val="39"/>
          <w:szCs w:val="39"/>
          <w:lang w:bidi="ar-EG"/>
        </w:rPr>
        <w:t>list (</w:t>
      </w:r>
      <w:r w:rsidR="00D92AB7">
        <w:rPr>
          <w:rFonts w:ascii="Hacen Newspaper" w:hAnsi="Hacen Newspaper" w:cs="PT Bold Heading"/>
          <w:sz w:val="39"/>
          <w:szCs w:val="39"/>
          <w:lang w:bidi="ar-EG"/>
        </w:rPr>
        <w:t xml:space="preserve">as </w:t>
      </w:r>
      <w:r>
        <w:rPr>
          <w:rFonts w:ascii="Hacen Newspaper" w:hAnsi="Hacen Newspaper" w:cs="PT Bold Heading"/>
          <w:sz w:val="39"/>
          <w:szCs w:val="39"/>
          <w:lang w:bidi="ar-EG"/>
        </w:rPr>
        <w:t>indicated</w:t>
      </w:r>
      <w:r w:rsidR="00D92AB7">
        <w:rPr>
          <w:rFonts w:ascii="Hacen Newspaper" w:hAnsi="Hacen Newspaper" w:cs="PT Bold Heading"/>
          <w:sz w:val="39"/>
          <w:szCs w:val="39"/>
          <w:lang w:bidi="ar-EG"/>
        </w:rPr>
        <w:t xml:space="preserve"> in the template of quality and planning 11):</w:t>
      </w:r>
    </w:p>
    <w:tbl>
      <w:tblPr>
        <w:tblpPr w:leftFromText="180" w:rightFromText="180" w:vertAnchor="page" w:horzAnchor="margin" w:tblpY="4902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17"/>
        <w:gridCol w:w="5843"/>
        <w:gridCol w:w="2547"/>
        <w:gridCol w:w="6353"/>
      </w:tblGrid>
      <w:tr w:rsidR="00717618" w:rsidRPr="00CA70D0" w:rsidTr="00717618">
        <w:trPr>
          <w:trHeight w:val="981"/>
        </w:trPr>
        <w:tc>
          <w:tcPr>
            <w:tcW w:w="3022" w:type="pct"/>
            <w:gridSpan w:val="3"/>
            <w:shd w:val="clear" w:color="auto" w:fill="1F497D" w:themeFill="text2"/>
            <w:vAlign w:val="center"/>
          </w:tcPr>
          <w:p w:rsidR="00717618" w:rsidRPr="00CA70D0" w:rsidRDefault="00717618" w:rsidP="00717618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2"/>
                <w:szCs w:val="32"/>
              </w:rPr>
            </w:pPr>
            <w:r>
              <w:rPr>
                <w:rFonts w:ascii="Arial" w:eastAsia="Calibri" w:hAnsi="Arial" w:cs="Arial"/>
                <w:color w:val="FFFFFF"/>
                <w:sz w:val="32"/>
                <w:szCs w:val="32"/>
                <w:lang w:bidi="ar-EG"/>
              </w:rPr>
              <w:t>List of the expected academic risks and their expected places</w:t>
            </w:r>
          </w:p>
        </w:tc>
        <w:tc>
          <w:tcPr>
            <w:tcW w:w="1978" w:type="pct"/>
            <w:shd w:val="clear" w:color="auto" w:fill="538135"/>
            <w:vAlign w:val="center"/>
          </w:tcPr>
          <w:p w:rsidR="00717618" w:rsidRPr="00CA70D0" w:rsidRDefault="00717618" w:rsidP="00717618">
            <w:pPr>
              <w:bidi w:val="0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4"/>
                <w:szCs w:val="34"/>
              </w:rPr>
            </w:pPr>
            <w:r w:rsidRPr="00CA70D0">
              <w:rPr>
                <w:rFonts w:ascii="Arial" w:eastAsia="Calibri" w:hAnsi="Arial" w:cs="Arial"/>
                <w:color w:val="FFFFFF"/>
                <w:sz w:val="34"/>
                <w:szCs w:val="34"/>
              </w:rPr>
              <w:t>R1</w:t>
            </w:r>
          </w:p>
        </w:tc>
      </w:tr>
      <w:tr w:rsidR="00717618" w:rsidTr="00717618">
        <w:trPr>
          <w:trHeight w:val="737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</w:rPr>
              <w:t>S.</w:t>
            </w:r>
          </w:p>
        </w:tc>
        <w:tc>
          <w:tcPr>
            <w:tcW w:w="1819" w:type="pct"/>
            <w:shd w:val="clear" w:color="auto" w:fill="DDD9C3" w:themeFill="background2" w:themeFillShade="E6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</w:rPr>
              <w:t xml:space="preserve">Risks </w:t>
            </w:r>
          </w:p>
        </w:tc>
        <w:tc>
          <w:tcPr>
            <w:tcW w:w="2771" w:type="pct"/>
            <w:gridSpan w:val="2"/>
            <w:shd w:val="clear" w:color="auto" w:fill="DDD9C3" w:themeFill="background2" w:themeFillShade="E6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</w:rPr>
              <w:t>The expected places for risks occurrences</w:t>
            </w:r>
          </w:p>
        </w:tc>
      </w:tr>
      <w:tr w:rsidR="00717618" w:rsidTr="00717618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1-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717618" w:rsidTr="00717618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2-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17618" w:rsidTr="00717618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3-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717618" w:rsidTr="00717618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  <w:t>4-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lang w:bidi="ar-EG"/>
              </w:rPr>
            </w:pPr>
          </w:p>
        </w:tc>
      </w:tr>
      <w:tr w:rsidR="00717618" w:rsidTr="00717618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  <w:t>5-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717618" w:rsidTr="00717618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717618" w:rsidRPr="00595459" w:rsidRDefault="00717618" w:rsidP="00717618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lastRenderedPageBreak/>
              <w:t>6-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717618" w:rsidRPr="00595459" w:rsidRDefault="00717618" w:rsidP="00717618">
            <w:pPr>
              <w:bidi w:val="0"/>
              <w:spacing w:line="240" w:lineRule="auto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</w:tbl>
    <w:tbl>
      <w:tblPr>
        <w:tblStyle w:val="1"/>
        <w:tblpPr w:leftFromText="180" w:rightFromText="180" w:vertAnchor="page" w:horzAnchor="margin" w:tblpXSpec="center" w:tblpY="5157"/>
        <w:tblW w:w="5000" w:type="pct"/>
        <w:tblLook w:val="04A0" w:firstRow="1" w:lastRow="0" w:firstColumn="1" w:lastColumn="0" w:noHBand="0" w:noVBand="1"/>
      </w:tblPr>
      <w:tblGrid>
        <w:gridCol w:w="5059"/>
        <w:gridCol w:w="2387"/>
        <w:gridCol w:w="1991"/>
        <w:gridCol w:w="2419"/>
        <w:gridCol w:w="1991"/>
        <w:gridCol w:w="2213"/>
      </w:tblGrid>
      <w:tr w:rsidR="00717618" w:rsidRPr="001135EA" w:rsidTr="00717618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PT Bold Heading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PT Bold Heading"/>
                <w:b/>
                <w:bCs/>
                <w:sz w:val="32"/>
                <w:szCs w:val="32"/>
              </w:rPr>
              <w:t>Risk:</w:t>
            </w:r>
          </w:p>
        </w:tc>
      </w:tr>
      <w:tr w:rsidR="00717618" w:rsidRPr="001135EA" w:rsidTr="00717618">
        <w:trPr>
          <w:trHeight w:val="20"/>
        </w:trPr>
        <w:tc>
          <w:tcPr>
            <w:tcW w:w="1575" w:type="pct"/>
            <w:shd w:val="clear" w:color="auto" w:fill="E5DFEC" w:themeFill="accent4" w:themeFillTint="33"/>
            <w:vAlign w:val="center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 xml:space="preserve">Measures employed by the program to address the risk </w:t>
            </w:r>
          </w:p>
        </w:tc>
        <w:tc>
          <w:tcPr>
            <w:tcW w:w="3425" w:type="pct"/>
            <w:gridSpan w:val="5"/>
            <w:shd w:val="clear" w:color="auto" w:fill="E5DFEC" w:themeFill="accent4" w:themeFillTint="33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1135EA">
              <w:rPr>
                <w:rFonts w:ascii="Calibri" w:eastAsia="Calibri" w:hAnsi="Calibri" w:cs="Arial" w:hint="cs"/>
                <w:sz w:val="32"/>
                <w:szCs w:val="32"/>
                <w:rtl/>
              </w:rPr>
              <w:t>-</w:t>
            </w:r>
          </w:p>
        </w:tc>
      </w:tr>
      <w:tr w:rsidR="00717618" w:rsidRPr="001135EA" w:rsidTr="00717618">
        <w:trPr>
          <w:trHeight w:val="20"/>
        </w:trPr>
        <w:tc>
          <w:tcPr>
            <w:tcW w:w="1575" w:type="pct"/>
            <w:vMerge w:val="restart"/>
            <w:vAlign w:val="center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lang w:bidi="ar-EG"/>
              </w:rPr>
              <w:t>Risk level before addressing it</w:t>
            </w:r>
          </w:p>
        </w:tc>
        <w:tc>
          <w:tcPr>
            <w:tcW w:w="743" w:type="pct"/>
            <w:shd w:val="clear" w:color="auto" w:fill="FF0000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76923C" w:themeFill="accent3" w:themeFillShade="BF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753" w:type="pct"/>
            <w:shd w:val="clear" w:color="auto" w:fill="FFFF00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00B050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sz w:val="32"/>
                <w:szCs w:val="32"/>
                <w:rtl/>
              </w:rPr>
            </w:pPr>
          </w:p>
        </w:tc>
        <w:tc>
          <w:tcPr>
            <w:tcW w:w="689" w:type="pct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002060"/>
                <w:sz w:val="32"/>
                <w:szCs w:val="32"/>
              </w:rPr>
              <w:t>●</w:t>
            </w:r>
          </w:p>
        </w:tc>
      </w:tr>
      <w:tr w:rsidR="00717618" w:rsidRPr="001135EA" w:rsidTr="00717618">
        <w:trPr>
          <w:trHeight w:val="20"/>
        </w:trPr>
        <w:tc>
          <w:tcPr>
            <w:tcW w:w="1575" w:type="pct"/>
            <w:vMerge/>
            <w:vAlign w:val="center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 xml:space="preserve">Disastrous 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critical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effective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limited</w:t>
            </w:r>
          </w:p>
        </w:tc>
        <w:tc>
          <w:tcPr>
            <w:tcW w:w="689" w:type="pct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little</w:t>
            </w:r>
          </w:p>
        </w:tc>
      </w:tr>
      <w:tr w:rsidR="00717618" w:rsidRPr="001135EA" w:rsidTr="00717618">
        <w:trPr>
          <w:trHeight w:val="20"/>
        </w:trPr>
        <w:tc>
          <w:tcPr>
            <w:tcW w:w="1575" w:type="pct"/>
            <w:vMerge w:val="restart"/>
            <w:vAlign w:val="center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lang w:bidi="ar-EG"/>
              </w:rPr>
              <w:t>Risk level after addressing it</w:t>
            </w:r>
          </w:p>
        </w:tc>
        <w:tc>
          <w:tcPr>
            <w:tcW w:w="743" w:type="pct"/>
            <w:shd w:val="clear" w:color="auto" w:fill="FF0000"/>
          </w:tcPr>
          <w:p w:rsidR="00717618" w:rsidRPr="001135EA" w:rsidRDefault="00717618" w:rsidP="00717618">
            <w:pPr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20" w:type="pct"/>
            <w:shd w:val="clear" w:color="auto" w:fill="76923C" w:themeFill="accent3" w:themeFillShade="BF"/>
          </w:tcPr>
          <w:p w:rsidR="00717618" w:rsidRPr="001135EA" w:rsidRDefault="00717618" w:rsidP="00717618">
            <w:pPr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753" w:type="pct"/>
            <w:shd w:val="clear" w:color="auto" w:fill="FFFF00"/>
          </w:tcPr>
          <w:p w:rsidR="00717618" w:rsidRPr="001135EA" w:rsidRDefault="00717618" w:rsidP="00717618">
            <w:pPr>
              <w:bidi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" w:type="pct"/>
            <w:shd w:val="clear" w:color="auto" w:fill="00B050"/>
          </w:tcPr>
          <w:p w:rsidR="00717618" w:rsidRPr="001135EA" w:rsidRDefault="00717618" w:rsidP="00717618">
            <w:pPr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89" w:type="pct"/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sz w:val="32"/>
                <w:szCs w:val="32"/>
                <w:rtl/>
              </w:rPr>
            </w:pPr>
            <w:r w:rsidRPr="001135EA">
              <w:rPr>
                <w:rFonts w:ascii="Arial" w:eastAsia="Times New Roman" w:hAnsi="Arial" w:cs="Times New Roman"/>
                <w:b/>
                <w:bCs/>
                <w:color w:val="002060"/>
                <w:sz w:val="32"/>
                <w:szCs w:val="32"/>
              </w:rPr>
              <w:t>●</w:t>
            </w:r>
          </w:p>
        </w:tc>
      </w:tr>
      <w:tr w:rsidR="00717618" w:rsidRPr="001135EA" w:rsidTr="00717618">
        <w:trPr>
          <w:trHeight w:val="20"/>
        </w:trPr>
        <w:tc>
          <w:tcPr>
            <w:tcW w:w="1575" w:type="pct"/>
            <w:vMerge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Disastrous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critical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effective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limited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717618" w:rsidRPr="001135EA" w:rsidRDefault="00717618" w:rsidP="00717618">
            <w:pPr>
              <w:bidi w:val="0"/>
              <w:jc w:val="center"/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222A35"/>
                <w:sz w:val="32"/>
                <w:szCs w:val="32"/>
              </w:rPr>
              <w:t>little</w:t>
            </w:r>
          </w:p>
        </w:tc>
      </w:tr>
      <w:tr w:rsidR="00717618" w:rsidRPr="001135EA" w:rsidTr="00717618">
        <w:trPr>
          <w:trHeight w:val="20"/>
        </w:trPr>
        <w:tc>
          <w:tcPr>
            <w:tcW w:w="1575" w:type="pct"/>
            <w:shd w:val="clear" w:color="auto" w:fill="EEECE1" w:themeFill="background2"/>
            <w:vAlign w:val="center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lang w:bidi="ar-EG"/>
              </w:rPr>
              <w:t xml:space="preserve">Program proposals for preventing risk occurrence  </w:t>
            </w:r>
          </w:p>
        </w:tc>
        <w:tc>
          <w:tcPr>
            <w:tcW w:w="3425" w:type="pct"/>
            <w:gridSpan w:val="5"/>
            <w:shd w:val="clear" w:color="auto" w:fill="EEECE1" w:themeFill="background2"/>
          </w:tcPr>
          <w:p w:rsidR="00717618" w:rsidRPr="001135EA" w:rsidRDefault="00717618" w:rsidP="00717618">
            <w:pPr>
              <w:tabs>
                <w:tab w:val="left" w:pos="2291"/>
              </w:tabs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1135E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-</w:t>
            </w:r>
          </w:p>
          <w:p w:rsidR="00717618" w:rsidRPr="001135EA" w:rsidRDefault="00717618" w:rsidP="00717618">
            <w:pPr>
              <w:tabs>
                <w:tab w:val="left" w:pos="2291"/>
              </w:tabs>
              <w:bidi w:val="0"/>
              <w:spacing w:line="276" w:lineRule="auto"/>
              <w:contextualSpacing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CA70D0" w:rsidRDefault="00CA70D0" w:rsidP="00717618">
      <w:pPr>
        <w:pStyle w:val="NoSpacing"/>
        <w:spacing w:before="240" w:afterAutospacing="0" w:line="480" w:lineRule="auto"/>
        <w:ind w:left="0"/>
        <w:rPr>
          <w:rFonts w:ascii="Hacen Newspaper" w:hAnsi="Hacen Newspaper" w:cs="PT Bold Heading"/>
          <w:sz w:val="39"/>
          <w:szCs w:val="39"/>
          <w:rtl/>
        </w:rPr>
      </w:pPr>
    </w:p>
    <w:p w:rsidR="00D92AB7" w:rsidRPr="00CA70D0" w:rsidRDefault="00D92AB7" w:rsidP="00717618">
      <w:pPr>
        <w:pStyle w:val="NoSpacing"/>
        <w:bidi w:val="0"/>
        <w:spacing w:before="240" w:afterAutospacing="0" w:line="480" w:lineRule="auto"/>
        <w:ind w:left="-32"/>
        <w:rPr>
          <w:rFonts w:ascii="Hacen Newspaper" w:hAnsi="Hacen Newspaper" w:cs="PT Bold Heading"/>
          <w:sz w:val="39"/>
          <w:szCs w:val="39"/>
          <w:lang w:bidi="ar-EG"/>
        </w:rPr>
      </w:pPr>
      <w:r>
        <w:rPr>
          <w:rFonts w:ascii="Hacen Newspaper" w:hAnsi="Hacen Newspaper" w:cs="PT Bold Heading"/>
          <w:sz w:val="39"/>
          <w:szCs w:val="39"/>
          <w:lang w:bidi="ar-EG"/>
        </w:rPr>
        <w:t xml:space="preserve">The table shall be repeated for each risk </w:t>
      </w:r>
      <w:r w:rsidR="00717618">
        <w:rPr>
          <w:rFonts w:ascii="Hacen Newspaper" w:hAnsi="Hacen Newspaper" w:cs="PT Bold Heading"/>
          <w:sz w:val="39"/>
          <w:szCs w:val="39"/>
          <w:lang w:bidi="ar-EG"/>
        </w:rPr>
        <w:t>indicated</w:t>
      </w:r>
      <w:r>
        <w:rPr>
          <w:rFonts w:ascii="Hacen Newspaper" w:hAnsi="Hacen Newspaper" w:cs="PT Bold Heading"/>
          <w:sz w:val="39"/>
          <w:szCs w:val="39"/>
          <w:lang w:bidi="ar-EG"/>
        </w:rPr>
        <w:t xml:space="preserve"> in the t</w:t>
      </w:r>
      <w:r w:rsidR="00717618">
        <w:rPr>
          <w:rFonts w:ascii="Hacen Newspaper" w:hAnsi="Hacen Newspaper" w:cs="PT Bold Heading"/>
          <w:sz w:val="39"/>
          <w:szCs w:val="39"/>
          <w:lang w:bidi="ar-EG"/>
        </w:rPr>
        <w:t>emplate of quality and planning-</w:t>
      </w:r>
      <w:r>
        <w:rPr>
          <w:rFonts w:ascii="Hacen Newspaper" w:hAnsi="Hacen Newspaper" w:cs="PT Bold Heading"/>
          <w:sz w:val="39"/>
          <w:szCs w:val="39"/>
          <w:lang w:bidi="ar-EG"/>
        </w:rPr>
        <w:t xml:space="preserve">11) </w:t>
      </w:r>
    </w:p>
    <w:sectPr w:rsidR="00D92AB7" w:rsidRPr="00CA70D0" w:rsidSect="00CA70D0">
      <w:headerReference w:type="default" r:id="rId8"/>
      <w:footerReference w:type="default" r:id="rId9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3A" w:rsidRDefault="0035293A" w:rsidP="002B1BD5">
      <w:pPr>
        <w:spacing w:after="0" w:line="240" w:lineRule="auto"/>
      </w:pPr>
      <w:r>
        <w:separator/>
      </w:r>
    </w:p>
  </w:endnote>
  <w:endnote w:type="continuationSeparator" w:id="0">
    <w:p w:rsidR="0035293A" w:rsidRDefault="0035293A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Pr="001135EA" w:rsidRDefault="00717618" w:rsidP="001135EA">
    <w:pPr>
      <w:pStyle w:val="Footer"/>
      <w:jc w:val="right"/>
    </w:pPr>
    <w:r>
      <w:rPr>
        <w:rFonts w:cs="Arial"/>
      </w:rPr>
      <w:t>Quality</w:t>
    </w:r>
    <w:r w:rsidR="00284563">
      <w:rPr>
        <w:rFonts w:cs="Arial"/>
      </w:rPr>
      <w:t xml:space="preserve"> and planning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3A" w:rsidRDefault="0035293A" w:rsidP="002B1BD5">
      <w:pPr>
        <w:spacing w:after="0" w:line="240" w:lineRule="auto"/>
      </w:pPr>
      <w:r>
        <w:separator/>
      </w:r>
    </w:p>
  </w:footnote>
  <w:footnote w:type="continuationSeparator" w:id="0">
    <w:p w:rsidR="0035293A" w:rsidRDefault="0035293A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CA70D0" w:rsidP="00284563">
    <w:pPr>
      <w:pStyle w:val="NoSpacing"/>
      <w:spacing w:afterAutospacing="0" w:line="360" w:lineRule="auto"/>
      <w:ind w:left="0" w:right="-1418"/>
      <w:rPr>
        <w:rFonts w:asciiTheme="minorBidi" w:hAnsiTheme="minorBidi"/>
        <w:sz w:val="14"/>
        <w:szCs w:val="14"/>
        <w:rtl/>
      </w:rPr>
    </w:pPr>
  </w:p>
  <w:p w:rsidR="00284563" w:rsidRDefault="00284563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84563" w:rsidRPr="0089664B" w:rsidRDefault="00284563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b/>
        <w:bCs/>
        <w:sz w:val="20"/>
        <w:szCs w:val="20"/>
        <w:rtl/>
      </w:rPr>
    </w:pPr>
  </w:p>
  <w:p w:rsidR="00284563" w:rsidRPr="0089664B" w:rsidRDefault="00284563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b/>
        <w:bCs/>
        <w:sz w:val="20"/>
        <w:szCs w:val="20"/>
        <w:rtl/>
      </w:rPr>
    </w:pPr>
  </w:p>
  <w:p w:rsidR="00284563" w:rsidRPr="0089664B" w:rsidRDefault="00284563" w:rsidP="00284563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b/>
        <w:bCs/>
        <w:sz w:val="20"/>
        <w:szCs w:val="20"/>
        <w:lang w:bidi="ar-EG"/>
      </w:rPr>
    </w:pPr>
    <w:r w:rsidRPr="0089664B">
      <w:rPr>
        <w:rFonts w:asciiTheme="minorBidi" w:hAnsiTheme="minorBidi"/>
        <w:b/>
        <w:bC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477FD956" wp14:editId="0EC193CF">
          <wp:simplePos x="0" y="0"/>
          <wp:positionH relativeFrom="column">
            <wp:posOffset>8205470</wp:posOffset>
          </wp:positionH>
          <wp:positionV relativeFrom="paragraph">
            <wp:posOffset>27305</wp:posOffset>
          </wp:positionV>
          <wp:extent cx="1036320" cy="984885"/>
          <wp:effectExtent l="0" t="0" r="0" b="0"/>
          <wp:wrapNone/>
          <wp:docPr id="1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64B" w:rsidRPr="0089664B">
      <w:rPr>
        <w:rFonts w:asciiTheme="minorBidi" w:hAnsiTheme="minorBidi"/>
        <w:b/>
        <w:bCs/>
        <w:sz w:val="20"/>
        <w:szCs w:val="20"/>
        <w:lang w:bidi="ar-EG"/>
      </w:rPr>
      <w:t>Kingdom</w:t>
    </w:r>
    <w:r w:rsidRPr="0089664B">
      <w:rPr>
        <w:rFonts w:asciiTheme="minorBidi" w:hAnsiTheme="minorBidi"/>
        <w:b/>
        <w:bCs/>
        <w:sz w:val="20"/>
        <w:szCs w:val="20"/>
        <w:lang w:bidi="ar-EG"/>
      </w:rPr>
      <w:t xml:space="preserve"> of Saudi Arabia </w:t>
    </w:r>
  </w:p>
  <w:p w:rsidR="00284563" w:rsidRPr="0089664B" w:rsidRDefault="00284563" w:rsidP="00284563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b/>
        <w:bCs/>
        <w:sz w:val="20"/>
        <w:szCs w:val="20"/>
        <w:lang w:bidi="ar-EG"/>
      </w:rPr>
    </w:pPr>
    <w:r w:rsidRPr="0089664B">
      <w:rPr>
        <w:rFonts w:asciiTheme="minorBidi" w:hAnsiTheme="minorBidi"/>
        <w:b/>
        <w:bCs/>
        <w:sz w:val="20"/>
        <w:szCs w:val="20"/>
        <w:lang w:bidi="ar-EG"/>
      </w:rPr>
      <w:t>Ministry of education</w:t>
    </w:r>
  </w:p>
  <w:p w:rsidR="00284563" w:rsidRPr="0089664B" w:rsidRDefault="00717618" w:rsidP="00284563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b/>
        <w:bCs/>
        <w:sz w:val="20"/>
        <w:szCs w:val="20"/>
        <w:rtl/>
      </w:rPr>
    </w:pPr>
    <w:proofErr w:type="spellStart"/>
    <w:r>
      <w:rPr>
        <w:rFonts w:asciiTheme="minorBidi" w:hAnsiTheme="minorBidi"/>
        <w:b/>
        <w:bCs/>
        <w:sz w:val="20"/>
        <w:szCs w:val="20"/>
        <w:lang w:bidi="ar-EG"/>
      </w:rPr>
      <w:t>Naj</w:t>
    </w:r>
    <w:r w:rsidR="00284563" w:rsidRPr="0089664B">
      <w:rPr>
        <w:rFonts w:asciiTheme="minorBidi" w:hAnsiTheme="minorBidi"/>
        <w:b/>
        <w:bCs/>
        <w:sz w:val="20"/>
        <w:szCs w:val="20"/>
        <w:lang w:bidi="ar-EG"/>
      </w:rPr>
      <w:t>ran</w:t>
    </w:r>
    <w:proofErr w:type="spellEnd"/>
    <w:r w:rsidR="00284563" w:rsidRPr="0089664B">
      <w:rPr>
        <w:rFonts w:asciiTheme="minorBidi" w:hAnsiTheme="minorBidi"/>
        <w:b/>
        <w:bCs/>
        <w:sz w:val="20"/>
        <w:szCs w:val="20"/>
        <w:lang w:bidi="ar-EG"/>
      </w:rPr>
      <w:t xml:space="preserve"> University </w:t>
    </w:r>
  </w:p>
  <w:p w:rsidR="00284563" w:rsidRPr="0089664B" w:rsidRDefault="00717618" w:rsidP="00284563">
    <w:pPr>
      <w:pStyle w:val="NoSpacing"/>
      <w:tabs>
        <w:tab w:val="left" w:pos="14624"/>
      </w:tabs>
      <w:bidi w:val="0"/>
      <w:spacing w:afterAutospacing="0" w:line="360" w:lineRule="auto"/>
      <w:ind w:left="0" w:right="-1418"/>
      <w:jc w:val="both"/>
      <w:rPr>
        <w:rFonts w:asciiTheme="minorBidi" w:hAnsiTheme="minorBidi"/>
        <w:b/>
        <w:bCs/>
        <w:sz w:val="20"/>
        <w:szCs w:val="20"/>
      </w:rPr>
    </w:pPr>
    <w:r>
      <w:rPr>
        <w:rFonts w:asciiTheme="minorBidi" w:hAnsiTheme="minorBidi"/>
        <w:b/>
        <w:bCs/>
        <w:sz w:val="20"/>
        <w:szCs w:val="20"/>
        <w:lang w:bidi="ar-EG"/>
      </w:rPr>
      <w:t>Vice-</w:t>
    </w:r>
    <w:proofErr w:type="spellStart"/>
    <w:r w:rsidR="00284563" w:rsidRPr="0089664B">
      <w:rPr>
        <w:rFonts w:asciiTheme="minorBidi" w:hAnsiTheme="minorBidi"/>
        <w:b/>
        <w:bCs/>
        <w:sz w:val="20"/>
        <w:szCs w:val="20"/>
        <w:lang w:bidi="ar-EG"/>
      </w:rPr>
      <w:t>Rectorship</w:t>
    </w:r>
    <w:proofErr w:type="spellEnd"/>
    <w:r w:rsidR="00284563" w:rsidRPr="0089664B">
      <w:rPr>
        <w:rFonts w:asciiTheme="minorBidi" w:hAnsiTheme="minorBidi"/>
        <w:b/>
        <w:bCs/>
        <w:sz w:val="20"/>
        <w:szCs w:val="20"/>
        <w:lang w:bidi="ar-EG"/>
      </w:rPr>
      <w:t xml:space="preserve"> for </w:t>
    </w:r>
    <w:r w:rsidRPr="0089664B">
      <w:rPr>
        <w:rFonts w:asciiTheme="minorBidi" w:hAnsiTheme="minorBidi"/>
        <w:b/>
        <w:bCs/>
        <w:sz w:val="20"/>
        <w:szCs w:val="20"/>
        <w:lang w:bidi="ar-EG"/>
      </w:rPr>
      <w:t xml:space="preserve">Development </w:t>
    </w:r>
    <w:r w:rsidR="00284563" w:rsidRPr="0089664B">
      <w:rPr>
        <w:rFonts w:asciiTheme="minorBidi" w:hAnsiTheme="minorBidi"/>
        <w:b/>
        <w:bCs/>
        <w:sz w:val="20"/>
        <w:szCs w:val="20"/>
        <w:lang w:bidi="ar-EG"/>
      </w:rPr>
      <w:t xml:space="preserve">and </w:t>
    </w:r>
    <w:r w:rsidRPr="0089664B">
      <w:rPr>
        <w:rFonts w:asciiTheme="minorBidi" w:hAnsiTheme="minorBidi"/>
        <w:b/>
        <w:bCs/>
        <w:sz w:val="20"/>
        <w:szCs w:val="20"/>
        <w:lang w:bidi="ar-EG"/>
      </w:rPr>
      <w:t>Quality</w:t>
    </w:r>
  </w:p>
  <w:p w:rsidR="00284563" w:rsidRPr="0089664B" w:rsidRDefault="00284563" w:rsidP="0089664B">
    <w:pPr>
      <w:pStyle w:val="NoSpacing"/>
      <w:tabs>
        <w:tab w:val="left" w:pos="14624"/>
      </w:tabs>
      <w:bidi w:val="0"/>
      <w:spacing w:afterAutospacing="0" w:line="360" w:lineRule="auto"/>
      <w:ind w:left="0" w:right="-1418"/>
      <w:jc w:val="both"/>
      <w:rPr>
        <w:rFonts w:asciiTheme="minorBidi" w:hAnsiTheme="minorBidi"/>
        <w:b/>
        <w:bCs/>
        <w:sz w:val="20"/>
        <w:szCs w:val="20"/>
        <w:rtl/>
      </w:rPr>
    </w:pPr>
    <w:r w:rsidRPr="0089664B">
      <w:rPr>
        <w:rFonts w:asciiTheme="minorBidi" w:hAnsiTheme="minorBidi"/>
        <w:b/>
        <w:bCs/>
        <w:sz w:val="20"/>
        <w:szCs w:val="20"/>
      </w:rPr>
      <w:t xml:space="preserve">Deanship of </w:t>
    </w:r>
    <w:r w:rsidR="00717618" w:rsidRPr="0089664B">
      <w:rPr>
        <w:rFonts w:asciiTheme="minorBidi" w:hAnsiTheme="minorBidi"/>
        <w:b/>
        <w:bCs/>
        <w:sz w:val="20"/>
        <w:szCs w:val="20"/>
      </w:rPr>
      <w:t xml:space="preserve">Development </w:t>
    </w:r>
    <w:r w:rsidRPr="0089664B">
      <w:rPr>
        <w:rFonts w:asciiTheme="minorBidi" w:hAnsiTheme="minorBidi"/>
        <w:b/>
        <w:bCs/>
        <w:sz w:val="20"/>
        <w:szCs w:val="20"/>
      </w:rPr>
      <w:t xml:space="preserve">and </w:t>
    </w:r>
    <w:r w:rsidR="00717618" w:rsidRPr="0089664B">
      <w:rPr>
        <w:rFonts w:asciiTheme="minorBidi" w:hAnsiTheme="minorBidi"/>
        <w:b/>
        <w:bCs/>
        <w:sz w:val="20"/>
        <w:szCs w:val="20"/>
      </w:rPr>
      <w:t>Quality</w:t>
    </w:r>
  </w:p>
  <w:p w:rsidR="00284563" w:rsidRPr="00CA70D0" w:rsidRDefault="00284563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35293A" w:rsidP="00CA70D0">
    <w:pPr>
      <w:pStyle w:val="NoSpacing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 w15:restartNumberingAfterBreak="0">
    <w:nsid w:val="3BAA311D"/>
    <w:multiLevelType w:val="hybridMultilevel"/>
    <w:tmpl w:val="009A4B02"/>
    <w:lvl w:ilvl="0" w:tplc="F3C43C7E">
      <w:start w:val="1"/>
      <w:numFmt w:val="upperRoman"/>
      <w:lvlText w:val="%1."/>
      <w:lvlJc w:val="left"/>
      <w:pPr>
        <w:ind w:left="11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6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7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8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1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7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6"/>
  </w:num>
  <w:num w:numId="2">
    <w:abstractNumId w:val="17"/>
  </w:num>
  <w:num w:numId="3">
    <w:abstractNumId w:val="12"/>
  </w:num>
  <w:num w:numId="4">
    <w:abstractNumId w:val="19"/>
  </w:num>
  <w:num w:numId="5">
    <w:abstractNumId w:val="13"/>
  </w:num>
  <w:num w:numId="6">
    <w:abstractNumId w:val="18"/>
  </w:num>
  <w:num w:numId="7">
    <w:abstractNumId w:val="1"/>
  </w:num>
  <w:num w:numId="8">
    <w:abstractNumId w:val="3"/>
  </w:num>
  <w:num w:numId="9">
    <w:abstractNumId w:val="23"/>
  </w:num>
  <w:num w:numId="10">
    <w:abstractNumId w:val="7"/>
  </w:num>
  <w:num w:numId="11">
    <w:abstractNumId w:val="24"/>
  </w:num>
  <w:num w:numId="12">
    <w:abstractNumId w:val="21"/>
  </w:num>
  <w:num w:numId="13">
    <w:abstractNumId w:val="22"/>
  </w:num>
  <w:num w:numId="14">
    <w:abstractNumId w:val="2"/>
  </w:num>
  <w:num w:numId="15">
    <w:abstractNumId w:val="9"/>
  </w:num>
  <w:num w:numId="16">
    <w:abstractNumId w:val="20"/>
  </w:num>
  <w:num w:numId="17">
    <w:abstractNumId w:val="27"/>
  </w:num>
  <w:num w:numId="18">
    <w:abstractNumId w:val="11"/>
  </w:num>
  <w:num w:numId="19">
    <w:abstractNumId w:val="4"/>
  </w:num>
  <w:num w:numId="20">
    <w:abstractNumId w:val="6"/>
  </w:num>
  <w:num w:numId="21">
    <w:abstractNumId w:val="15"/>
  </w:num>
  <w:num w:numId="22">
    <w:abstractNumId w:val="16"/>
  </w:num>
  <w:num w:numId="23">
    <w:abstractNumId w:val="5"/>
  </w:num>
  <w:num w:numId="24">
    <w:abstractNumId w:val="10"/>
  </w:num>
  <w:num w:numId="25">
    <w:abstractNumId w:val="8"/>
  </w:num>
  <w:num w:numId="26">
    <w:abstractNumId w:val="25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124C8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135EA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563"/>
    <w:rsid w:val="0028489C"/>
    <w:rsid w:val="00296BC9"/>
    <w:rsid w:val="002B1BD5"/>
    <w:rsid w:val="002B6B2D"/>
    <w:rsid w:val="002C47D9"/>
    <w:rsid w:val="003110EA"/>
    <w:rsid w:val="0035293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15C18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61A0B"/>
    <w:rsid w:val="00684230"/>
    <w:rsid w:val="00696BA0"/>
    <w:rsid w:val="006C0745"/>
    <w:rsid w:val="006C49F4"/>
    <w:rsid w:val="006C542A"/>
    <w:rsid w:val="00711872"/>
    <w:rsid w:val="00717618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9664B"/>
    <w:rsid w:val="008B0A83"/>
    <w:rsid w:val="008B2ACE"/>
    <w:rsid w:val="008C2B71"/>
    <w:rsid w:val="008C66C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A43D0"/>
    <w:rsid w:val="009C0BE8"/>
    <w:rsid w:val="009C744A"/>
    <w:rsid w:val="009D562B"/>
    <w:rsid w:val="00A313AA"/>
    <w:rsid w:val="00A537B8"/>
    <w:rsid w:val="00A72A4D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346E"/>
    <w:rsid w:val="00B74AA9"/>
    <w:rsid w:val="00B848A1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128FA"/>
    <w:rsid w:val="00D40FE8"/>
    <w:rsid w:val="00D4570B"/>
    <w:rsid w:val="00D64015"/>
    <w:rsid w:val="00D66B9C"/>
    <w:rsid w:val="00D70799"/>
    <w:rsid w:val="00D7281E"/>
    <w:rsid w:val="00D73C6D"/>
    <w:rsid w:val="00D82599"/>
    <w:rsid w:val="00D92AB7"/>
    <w:rsid w:val="00D9558E"/>
    <w:rsid w:val="00D95B22"/>
    <w:rsid w:val="00DA4F40"/>
    <w:rsid w:val="00DB2579"/>
    <w:rsid w:val="00DC1EB4"/>
    <w:rsid w:val="00DE555F"/>
    <w:rsid w:val="00DF7721"/>
    <w:rsid w:val="00DF78BE"/>
    <w:rsid w:val="00E03127"/>
    <w:rsid w:val="00E312D2"/>
    <w:rsid w:val="00E43376"/>
    <w:rsid w:val="00E43817"/>
    <w:rsid w:val="00E55F0C"/>
    <w:rsid w:val="00E63557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88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625CE-8557-4B38-AE6F-C6C5C9D5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  <w:style w:type="table" w:customStyle="1" w:styleId="1">
    <w:name w:val="شبكة جدول1"/>
    <w:basedOn w:val="TableNormal"/>
    <w:next w:val="TableGrid"/>
    <w:uiPriority w:val="59"/>
    <w:rsid w:val="001135EA"/>
    <w:pPr>
      <w:spacing w:after="0" w:afterAutospacing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96AB-9135-408B-BB15-D4A56E46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8</cp:revision>
  <cp:lastPrinted>2016-10-02T21:42:00Z</cp:lastPrinted>
  <dcterms:created xsi:type="dcterms:W3CDTF">2018-03-05T23:33:00Z</dcterms:created>
  <dcterms:modified xsi:type="dcterms:W3CDTF">2018-03-08T18:59:00Z</dcterms:modified>
</cp:coreProperties>
</file>